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D4AD" w14:textId="77777777" w:rsidR="00C816D9" w:rsidRPr="009D7A02" w:rsidRDefault="00C816D9" w:rsidP="00C816D9">
      <w:pPr>
        <w:spacing w:line="276" w:lineRule="auto"/>
        <w:jc w:val="both"/>
        <w:rPr>
          <w:rFonts w:ascii="Inter ExtraBold" w:hAnsi="Inter ExtraBold" w:cs="Arial"/>
          <w:b/>
          <w:bCs/>
          <w:sz w:val="56"/>
          <w:szCs w:val="56"/>
        </w:rPr>
      </w:pPr>
      <w:r w:rsidRPr="009D7A02">
        <w:rPr>
          <w:rFonts w:ascii="Inter ExtraBold" w:hAnsi="Inter ExtraBold" w:cs="Arial"/>
          <w:b/>
          <w:bCs/>
          <w:sz w:val="56"/>
          <w:szCs w:val="56"/>
        </w:rPr>
        <w:t>Cabinet</w:t>
      </w:r>
    </w:p>
    <w:p w14:paraId="1265B27D" w14:textId="77777777" w:rsidR="00C816D9" w:rsidRPr="009D7A02" w:rsidRDefault="00C816D9" w:rsidP="00C816D9">
      <w:pPr>
        <w:spacing w:line="276" w:lineRule="auto"/>
        <w:jc w:val="both"/>
        <w:rPr>
          <w:rFonts w:ascii="Inter" w:hAnsi="Inter" w:cs="Arial"/>
          <w:szCs w:val="22"/>
        </w:rPr>
      </w:pPr>
      <w:r w:rsidRPr="009D7A02">
        <w:rPr>
          <w:rFonts w:ascii="Inter" w:hAnsi="Inter" w:cs="Arial"/>
          <w:szCs w:val="22"/>
        </w:rPr>
        <w:t>Tees Valley Combined Authority</w:t>
      </w:r>
    </w:p>
    <w:p w14:paraId="4F1C77A3" w14:textId="77777777" w:rsidR="00C816D9" w:rsidRPr="009D7A02" w:rsidRDefault="00C816D9" w:rsidP="00C816D9">
      <w:pPr>
        <w:pStyle w:val="Heading4"/>
        <w:rPr>
          <w:rFonts w:cs="Arial"/>
        </w:rPr>
      </w:pPr>
    </w:p>
    <w:p w14:paraId="1FC4829D" w14:textId="30B471D8" w:rsidR="00C816D9" w:rsidRPr="009D7A02" w:rsidRDefault="00C816D9" w:rsidP="00C816D9">
      <w:pPr>
        <w:pStyle w:val="Heading4"/>
        <w:ind w:left="3686" w:hanging="3686"/>
        <w:rPr>
          <w:rFonts w:ascii="Inter" w:hAnsi="Inter"/>
          <w:b w:val="0"/>
          <w:bCs/>
        </w:rPr>
      </w:pPr>
      <w:r w:rsidRPr="009D7A02">
        <w:rPr>
          <w:rFonts w:ascii="Inter" w:hAnsi="Inter" w:cs="Arial"/>
          <w:b w:val="0"/>
          <w:bCs/>
        </w:rPr>
        <w:t>Date</w:t>
      </w:r>
      <w:r w:rsidRPr="009D7A02">
        <w:rPr>
          <w:rFonts w:ascii="Inter" w:hAnsi="Inter" w:cs="Arial"/>
          <w:b w:val="0"/>
          <w:bCs/>
        </w:rPr>
        <w:tab/>
      </w:r>
      <w:r w:rsidRPr="009D7A02">
        <w:rPr>
          <w:rFonts w:ascii="Inter" w:hAnsi="Inter"/>
          <w:b w:val="0"/>
          <w:bCs/>
        </w:rPr>
        <w:t>30 January 2026</w:t>
      </w:r>
    </w:p>
    <w:p w14:paraId="50D39627" w14:textId="77777777" w:rsidR="00C816D9" w:rsidRPr="009D7A02" w:rsidRDefault="00C816D9" w:rsidP="00C816D9">
      <w:pPr>
        <w:ind w:left="3686" w:hanging="3686"/>
      </w:pPr>
    </w:p>
    <w:p w14:paraId="42799731" w14:textId="746F1661" w:rsidR="00C816D9" w:rsidRPr="009D7A02" w:rsidRDefault="00C816D9" w:rsidP="2DD737F5">
      <w:pPr>
        <w:pStyle w:val="Heading4"/>
        <w:ind w:left="3686" w:hanging="3686"/>
        <w:rPr>
          <w:b w:val="0"/>
        </w:rPr>
      </w:pPr>
      <w:r w:rsidRPr="2DD737F5">
        <w:rPr>
          <w:rFonts w:ascii="Inter" w:hAnsi="Inter" w:cs="Arial"/>
          <w:b w:val="0"/>
        </w:rPr>
        <w:t>Agenda Item</w:t>
      </w:r>
      <w:r>
        <w:tab/>
      </w:r>
      <w:r w:rsidR="00B537FD">
        <w:t xml:space="preserve">7 </w:t>
      </w:r>
    </w:p>
    <w:p w14:paraId="4DAA1B8D" w14:textId="77777777" w:rsidR="00C816D9" w:rsidRPr="009D7A02" w:rsidRDefault="00C816D9" w:rsidP="00C816D9">
      <w:pPr>
        <w:ind w:left="3686" w:hanging="3686"/>
      </w:pPr>
    </w:p>
    <w:p w14:paraId="65E32D60" w14:textId="48D29C73" w:rsidR="00C816D9" w:rsidRPr="009D7A02" w:rsidRDefault="00C816D9" w:rsidP="00C816D9">
      <w:pPr>
        <w:pStyle w:val="Heading4"/>
        <w:ind w:left="3686" w:hanging="3686"/>
        <w:rPr>
          <w:rFonts w:ascii="Inter" w:hAnsi="Inter"/>
          <w:b w:val="0"/>
          <w:bCs/>
          <w:sz w:val="32"/>
          <w:szCs w:val="32"/>
        </w:rPr>
      </w:pPr>
      <w:r w:rsidRPr="009D7A02">
        <w:rPr>
          <w:rFonts w:ascii="Inter" w:hAnsi="Inter" w:cs="Arial"/>
          <w:b w:val="0"/>
          <w:bCs/>
        </w:rPr>
        <w:t>Report Title</w:t>
      </w:r>
      <w:r w:rsidRPr="009D7A02">
        <w:rPr>
          <w:rFonts w:ascii="Inter" w:hAnsi="Inter" w:cs="Arial"/>
        </w:rPr>
        <w:tab/>
      </w:r>
      <w:r w:rsidRPr="009D7A02">
        <w:rPr>
          <w:rFonts w:ascii="Inter" w:hAnsi="Inter"/>
          <w:sz w:val="32"/>
          <w:szCs w:val="32"/>
        </w:rPr>
        <w:t>Draft Capital &amp; Revenue Budgets 2026/27, Updated MTFP and Capital Programme 2026/27-2029/30</w:t>
      </w:r>
    </w:p>
    <w:p w14:paraId="43CFF795" w14:textId="757D6045" w:rsidR="00C816D9" w:rsidRPr="009D7A02" w:rsidRDefault="00C816D9" w:rsidP="00C816D9"/>
    <w:p w14:paraId="4B2B1F93" w14:textId="7E889C02" w:rsidR="00A94258" w:rsidRPr="009D7A02" w:rsidRDefault="00C816D9" w:rsidP="00C816D9">
      <w:pPr>
        <w:pStyle w:val="Heading4"/>
        <w:ind w:left="3686" w:hanging="3686"/>
        <w:rPr>
          <w:rFonts w:ascii="Inter" w:hAnsi="Inter"/>
          <w:b w:val="0"/>
          <w:bCs/>
        </w:rPr>
      </w:pPr>
      <w:r w:rsidRPr="009D7A02">
        <w:rPr>
          <w:rFonts w:ascii="Inter" w:hAnsi="Inter" w:cs="Arial"/>
          <w:b w:val="0"/>
          <w:bCs/>
        </w:rPr>
        <w:t>Accountable Cabinet Member</w:t>
      </w:r>
      <w:r w:rsidRPr="009D7A02">
        <w:rPr>
          <w:rFonts w:ascii="Inter" w:hAnsi="Inter" w:cs="Arial"/>
          <w:b w:val="0"/>
          <w:bCs/>
        </w:rPr>
        <w:tab/>
      </w:r>
      <w:r w:rsidR="00A94258" w:rsidRPr="009D7A02">
        <w:rPr>
          <w:rFonts w:ascii="Inter" w:hAnsi="Inter"/>
          <w:b w:val="0"/>
          <w:bCs/>
        </w:rPr>
        <w:t>Mayor Chris Cooke, Portfolio Holder for Inward Investment and Finance</w:t>
      </w:r>
    </w:p>
    <w:p w14:paraId="6ABC94EA" w14:textId="77777777" w:rsidR="00A94258" w:rsidRPr="009D7A02" w:rsidRDefault="00A94258" w:rsidP="00A94258"/>
    <w:p w14:paraId="485D96D4" w14:textId="6AA1D638" w:rsidR="00A94258" w:rsidRPr="009D7A02" w:rsidRDefault="003D3363" w:rsidP="00C816D9">
      <w:pPr>
        <w:pStyle w:val="Heading4"/>
        <w:ind w:left="3686" w:hanging="3686"/>
        <w:rPr>
          <w:rFonts w:cs="Arial"/>
          <w:b w:val="0"/>
        </w:rPr>
      </w:pPr>
      <w:r w:rsidRPr="009D7A02">
        <w:rPr>
          <w:rFonts w:ascii="Inter" w:hAnsi="Inter" w:cs="Arial"/>
          <w:b w:val="0"/>
          <w:bCs/>
        </w:rPr>
        <w:t>Accountable Chief Officer</w:t>
      </w:r>
      <w:r w:rsidR="00C816D9" w:rsidRPr="009D7A02">
        <w:rPr>
          <w:rFonts w:ascii="Inter" w:hAnsi="Inter" w:cs="Arial"/>
          <w:b w:val="0"/>
          <w:bCs/>
        </w:rPr>
        <w:tab/>
      </w:r>
      <w:r w:rsidR="00A94258" w:rsidRPr="009D7A02">
        <w:rPr>
          <w:rFonts w:ascii="Inter" w:hAnsi="Inter"/>
          <w:b w:val="0"/>
          <w:bCs/>
        </w:rPr>
        <w:t>Jo Moore, Interim Group Director of Finance &amp; Resources</w:t>
      </w:r>
    </w:p>
    <w:p w14:paraId="49702360" w14:textId="77777777" w:rsidR="00A94258" w:rsidRPr="009D7A02" w:rsidRDefault="00A94258" w:rsidP="00A94258">
      <w:pPr>
        <w:rPr>
          <w:rFonts w:cs="Arial"/>
          <w:b/>
        </w:rPr>
      </w:pPr>
    </w:p>
    <w:p w14:paraId="11FD6035" w14:textId="238253DC" w:rsidR="00A94258" w:rsidRPr="009D7A02" w:rsidRDefault="003D3363" w:rsidP="00C816D9">
      <w:pPr>
        <w:pStyle w:val="Heading4"/>
        <w:ind w:left="3686" w:hanging="3686"/>
        <w:rPr>
          <w:rFonts w:cs="Arial"/>
          <w:b w:val="0"/>
        </w:rPr>
      </w:pPr>
      <w:r w:rsidRPr="009D7A02">
        <w:rPr>
          <w:rFonts w:ascii="Inter" w:hAnsi="Inter" w:cs="Arial"/>
          <w:b w:val="0"/>
          <w:bCs/>
        </w:rPr>
        <w:t>Accountable Employee</w:t>
      </w:r>
      <w:r w:rsidR="00C816D9" w:rsidRPr="009D7A02">
        <w:rPr>
          <w:rFonts w:ascii="Inter" w:hAnsi="Inter" w:cs="Arial"/>
        </w:rPr>
        <w:tab/>
      </w:r>
      <w:r w:rsidR="00A94258" w:rsidRPr="009D7A02">
        <w:rPr>
          <w:rFonts w:ascii="Inter" w:hAnsi="Inter"/>
          <w:b w:val="0"/>
          <w:bCs/>
        </w:rPr>
        <w:t>Andrew Baldwin, Chief Accountant</w:t>
      </w:r>
    </w:p>
    <w:p w14:paraId="40608973" w14:textId="77777777" w:rsidR="00A94258" w:rsidRPr="009D7A02" w:rsidRDefault="00A94258" w:rsidP="00A94258">
      <w:pPr>
        <w:rPr>
          <w:rFonts w:cs="Arial"/>
          <w:b/>
        </w:rPr>
      </w:pPr>
    </w:p>
    <w:p w14:paraId="1C8752C4" w14:textId="302C9360" w:rsidR="7A0123CB" w:rsidRDefault="7A0123CB" w:rsidP="4C0B802F">
      <w:pPr>
        <w:pStyle w:val="Heading4"/>
        <w:ind w:left="3686" w:hanging="3686"/>
        <w:rPr>
          <w:rFonts w:ascii="Inter Light" w:eastAsia="Inter Light" w:hAnsi="Inter Light" w:cs="Inter Light"/>
          <w:b w:val="0"/>
          <w:szCs w:val="22"/>
        </w:rPr>
      </w:pPr>
      <w:r w:rsidRPr="4C0B802F">
        <w:rPr>
          <w:rFonts w:ascii="Inter" w:eastAsia="Inter" w:hAnsi="Inter" w:cs="Inter"/>
          <w:b w:val="0"/>
          <w:color w:val="000000" w:themeColor="text2"/>
          <w:szCs w:val="22"/>
        </w:rPr>
        <w:t>Report Considered by</w:t>
      </w:r>
      <w:r>
        <w:tab/>
      </w:r>
      <w:r w:rsidRPr="00D06C9A">
        <w:rPr>
          <w:rFonts w:ascii="Inter" w:eastAsia="Inter" w:hAnsi="Inter" w:cs="Inter"/>
          <w:b w:val="0"/>
          <w:color w:val="000000" w:themeColor="text2"/>
          <w:szCs w:val="22"/>
        </w:rPr>
        <w:t>Pre-Cabinet process (A draft version of the report was circulated on 13 January 2026 and discussed with statutory officers from the constituent local authorities on 14 January 2026 and informal Cabinet on the 16 January 2026)</w:t>
      </w:r>
    </w:p>
    <w:p w14:paraId="674829CC" w14:textId="6EF10202" w:rsidR="4C0B802F" w:rsidRDefault="4C0B802F" w:rsidP="4C0B802F"/>
    <w:p w14:paraId="37AB63AF" w14:textId="77777777" w:rsidR="00A94258" w:rsidRPr="009D7A02" w:rsidRDefault="00A94258" w:rsidP="00A94258"/>
    <w:p w14:paraId="0A204C1E" w14:textId="7020AED6" w:rsidR="00A94258" w:rsidRPr="009D7A02" w:rsidRDefault="003D3363" w:rsidP="003D3363">
      <w:pPr>
        <w:pStyle w:val="Heading4"/>
        <w:ind w:left="3686" w:hanging="3686"/>
        <w:rPr>
          <w:rFonts w:ascii="Inter" w:hAnsi="Inter" w:cs="Arial"/>
          <w:b w:val="0"/>
        </w:rPr>
      </w:pPr>
      <w:r w:rsidRPr="009D7A02">
        <w:rPr>
          <w:rFonts w:ascii="Inter" w:hAnsi="Inter" w:cs="Arial"/>
          <w:b w:val="0"/>
          <w:bCs/>
        </w:rPr>
        <w:t>Key Decision</w:t>
      </w:r>
      <w:r w:rsidRPr="009D7A02">
        <w:rPr>
          <w:rFonts w:ascii="Inter" w:hAnsi="Inter" w:cs="Arial"/>
          <w:b w:val="0"/>
          <w:bCs/>
        </w:rPr>
        <w:tab/>
      </w:r>
      <w:r w:rsidR="00A94258" w:rsidRPr="009D7A02">
        <w:rPr>
          <w:rFonts w:ascii="Inter" w:hAnsi="Inter" w:cs="Arial"/>
          <w:b w:val="0"/>
        </w:rPr>
        <w:t>Yes</w:t>
      </w:r>
    </w:p>
    <w:p w14:paraId="3E69B1B2" w14:textId="77777777" w:rsidR="00A94258" w:rsidRPr="009D7A02" w:rsidRDefault="00A94258" w:rsidP="00A94258">
      <w:pPr>
        <w:rPr>
          <w:rFonts w:cs="Arial"/>
          <w:bCs/>
        </w:rPr>
      </w:pPr>
    </w:p>
    <w:p w14:paraId="34506360" w14:textId="64712961" w:rsidR="4127AC1F" w:rsidRDefault="4127AC1F" w:rsidP="4C0B802F">
      <w:pPr>
        <w:ind w:left="3686"/>
      </w:pPr>
      <w:r w:rsidRPr="4C0B802F">
        <w:rPr>
          <w:rFonts w:eastAsia="Inter Light" w:cs="Inter Light"/>
          <w:szCs w:val="22"/>
        </w:rPr>
        <w:t>This is a key decision in accordance with the Constitution.</w:t>
      </w:r>
    </w:p>
    <w:p w14:paraId="75CCDCC6" w14:textId="46D0B35E" w:rsidR="4C0B802F" w:rsidRDefault="4C0B802F" w:rsidP="4C0B802F">
      <w:pPr>
        <w:ind w:left="3686"/>
        <w:rPr>
          <w:rFonts w:eastAsia="Arial" w:cs="Arial"/>
        </w:rPr>
      </w:pPr>
    </w:p>
    <w:p w14:paraId="1414C5D6" w14:textId="77777777" w:rsidR="00A94258" w:rsidRPr="009D7A02" w:rsidRDefault="00A94258" w:rsidP="00A94258">
      <w:pPr>
        <w:rPr>
          <w:rFonts w:cs="Arial"/>
          <w:b/>
        </w:rPr>
      </w:pPr>
    </w:p>
    <w:p w14:paraId="3A6ABA72" w14:textId="7E4B175E" w:rsidR="00A94258" w:rsidRPr="009D7A02" w:rsidRDefault="003D3363" w:rsidP="2DFE4DF5">
      <w:pPr>
        <w:pStyle w:val="Heading4"/>
        <w:ind w:left="3686" w:hanging="3686"/>
        <w:rPr>
          <w:rFonts w:ascii="Inter" w:hAnsi="Inter"/>
          <w:b w:val="0"/>
          <w:highlight w:val="yellow"/>
        </w:rPr>
      </w:pPr>
      <w:r w:rsidRPr="2DFE4DF5">
        <w:rPr>
          <w:rFonts w:ascii="Inter" w:hAnsi="Inter" w:cs="Arial"/>
          <w:b w:val="0"/>
        </w:rPr>
        <w:t>Public Report</w:t>
      </w:r>
      <w:r>
        <w:tab/>
      </w:r>
      <w:r w:rsidR="00A94258" w:rsidRPr="00C707FE">
        <w:rPr>
          <w:rFonts w:ascii="Inter" w:hAnsi="Inter"/>
          <w:b w:val="0"/>
        </w:rPr>
        <w:t>Yes</w:t>
      </w:r>
    </w:p>
    <w:p w14:paraId="02684AFE" w14:textId="77777777" w:rsidR="00A94258" w:rsidRPr="009D7A02" w:rsidRDefault="00A94258" w:rsidP="00A94258"/>
    <w:p w14:paraId="1F105CEB" w14:textId="77777777" w:rsidR="00A94258" w:rsidRPr="009D7A02" w:rsidRDefault="00A94258" w:rsidP="00A94258">
      <w:pPr>
        <w:rPr>
          <w:rFonts w:cs="Arial"/>
          <w:b/>
        </w:rPr>
      </w:pPr>
    </w:p>
    <w:p w14:paraId="44FBF9EC" w14:textId="3F80CF64" w:rsidR="00A94258" w:rsidRPr="009D7A02" w:rsidRDefault="003D3363" w:rsidP="2DFE4DF5">
      <w:pPr>
        <w:pStyle w:val="Heading4"/>
        <w:ind w:left="3686" w:hanging="3686"/>
        <w:rPr>
          <w:rFonts w:ascii="Inter" w:hAnsi="Inter" w:cs="Arial"/>
          <w:b w:val="0"/>
        </w:rPr>
      </w:pPr>
      <w:r w:rsidRPr="2DFE4DF5">
        <w:rPr>
          <w:rFonts w:ascii="Inter" w:hAnsi="Inter" w:cs="Arial"/>
          <w:b w:val="0"/>
        </w:rPr>
        <w:t>Voting Arrangements</w:t>
      </w:r>
      <w:r>
        <w:tab/>
      </w:r>
      <w:bookmarkStart w:id="0" w:name="_Hlk219191011"/>
      <w:r w:rsidR="6F25D28A" w:rsidRPr="00D75D8A">
        <w:rPr>
          <w:rFonts w:ascii="Inter" w:hAnsi="Inter" w:cs="Arial"/>
          <w:b w:val="0"/>
        </w:rPr>
        <w:t>T</w:t>
      </w:r>
      <w:r w:rsidR="006B69B1" w:rsidRPr="00D75D8A">
        <w:rPr>
          <w:rFonts w:ascii="Inter" w:hAnsi="Inter" w:cs="Arial"/>
          <w:b w:val="0"/>
        </w:rPr>
        <w:t>he</w:t>
      </w:r>
      <w:r w:rsidRPr="00D75D8A">
        <w:rPr>
          <w:rFonts w:ascii="Inter" w:hAnsi="Inter" w:cs="Arial"/>
          <w:b w:val="0"/>
        </w:rPr>
        <w:t xml:space="preserve"> Cabinet will work to progress decisions via consensus, if a vote is required then it is by simple majority that includes the </w:t>
      </w:r>
      <w:r w:rsidR="000D1B67" w:rsidRPr="00D75D8A">
        <w:rPr>
          <w:rFonts w:ascii="Inter" w:hAnsi="Inter" w:cs="Arial"/>
          <w:b w:val="0"/>
        </w:rPr>
        <w:t>mayor</w:t>
      </w:r>
      <w:r w:rsidRPr="00D75D8A">
        <w:rPr>
          <w:rFonts w:ascii="Inter" w:hAnsi="Inter" w:cs="Arial"/>
          <w:b w:val="0"/>
        </w:rPr>
        <w:t>.</w:t>
      </w:r>
      <w:bookmarkEnd w:id="0"/>
    </w:p>
    <w:p w14:paraId="223A8258" w14:textId="77777777" w:rsidR="00EB31C6" w:rsidRPr="009D7A02" w:rsidRDefault="00EB31C6" w:rsidP="00A94258">
      <w:pPr>
        <w:rPr>
          <w:rFonts w:cs="Arial"/>
          <w:b/>
        </w:rPr>
      </w:pPr>
    </w:p>
    <w:p w14:paraId="52C11E2F" w14:textId="23EDFF67" w:rsidR="00687C07" w:rsidRPr="00C03415" w:rsidRDefault="00EB31C6" w:rsidP="00207485">
      <w:pPr>
        <w:pStyle w:val="Heading4"/>
        <w:rPr>
          <w:rFonts w:ascii="Inter" w:hAnsi="Inter"/>
          <w:b w:val="0"/>
          <w:bCs/>
        </w:rPr>
      </w:pPr>
      <w:r w:rsidRPr="00C03415">
        <w:rPr>
          <w:rFonts w:ascii="Inter" w:hAnsi="Inter"/>
          <w:b w:val="0"/>
          <w:bCs/>
        </w:rPr>
        <w:lastRenderedPageBreak/>
        <w:t>Recommendations</w:t>
      </w:r>
    </w:p>
    <w:p w14:paraId="55AFE5D0" w14:textId="77777777" w:rsidR="00687C07" w:rsidRPr="00C03415" w:rsidRDefault="00687C07" w:rsidP="00687C07">
      <w:pPr>
        <w:rPr>
          <w:rFonts w:cs="Arial"/>
          <w:bCs/>
        </w:rPr>
      </w:pPr>
    </w:p>
    <w:p w14:paraId="5A1DD449" w14:textId="77777777" w:rsidR="00A94258" w:rsidRPr="00C03415" w:rsidRDefault="00A94258" w:rsidP="00A94258">
      <w:pPr>
        <w:spacing w:line="276" w:lineRule="auto"/>
        <w:jc w:val="both"/>
        <w:rPr>
          <w:rFonts w:ascii="Inter" w:hAnsi="Inter" w:cs="Arial"/>
          <w:bCs/>
          <w:szCs w:val="22"/>
        </w:rPr>
      </w:pPr>
      <w:r w:rsidRPr="00C03415">
        <w:rPr>
          <w:rFonts w:ascii="Inter" w:hAnsi="Inter" w:cs="Arial"/>
          <w:bCs/>
          <w:szCs w:val="22"/>
        </w:rPr>
        <w:t>The Combined Authority Cabinet is recommended to:</w:t>
      </w:r>
    </w:p>
    <w:p w14:paraId="18D91D9B" w14:textId="77777777" w:rsidR="00EB31C6" w:rsidRPr="00C03415" w:rsidRDefault="00EB31C6" w:rsidP="00A94258">
      <w:pPr>
        <w:spacing w:line="276" w:lineRule="auto"/>
        <w:jc w:val="both"/>
        <w:rPr>
          <w:rFonts w:ascii="Inter" w:hAnsi="Inter" w:cs="Arial"/>
          <w:bCs/>
          <w:szCs w:val="22"/>
        </w:rPr>
      </w:pPr>
    </w:p>
    <w:tbl>
      <w:tblPr>
        <w:tblW w:w="9632" w:type="dxa"/>
        <w:tblBorders>
          <w:top w:val="single" w:sz="2" w:space="0" w:color="DDDDDD" w:themeColor="accent1"/>
          <w:left w:val="single" w:sz="2" w:space="0" w:color="DDDDDD" w:themeColor="accent1"/>
          <w:bottom w:val="single" w:sz="2" w:space="0" w:color="DDDDDD" w:themeColor="accent1"/>
          <w:right w:val="single" w:sz="2" w:space="0" w:color="DDDDDD" w:themeColor="accent1"/>
          <w:insideH w:val="single" w:sz="2" w:space="0" w:color="DDDDDD" w:themeColor="accent1"/>
          <w:insideV w:val="single" w:sz="2" w:space="0" w:color="DDDDDD" w:themeColor="accent1"/>
        </w:tblBorders>
        <w:tblLook w:val="04A0" w:firstRow="1" w:lastRow="0" w:firstColumn="1" w:lastColumn="0" w:noHBand="0" w:noVBand="1"/>
      </w:tblPr>
      <w:tblGrid>
        <w:gridCol w:w="1702"/>
        <w:gridCol w:w="7930"/>
      </w:tblGrid>
      <w:tr w:rsidR="00F66EDA" w:rsidRPr="00C03415" w14:paraId="272F0DFC" w14:textId="77777777" w:rsidTr="2DFE4DF5">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48DE0D6E" w14:textId="77777777" w:rsidR="00F66EDA" w:rsidRPr="00C03415" w:rsidRDefault="00F66EDA">
            <w:pPr>
              <w:spacing w:line="276" w:lineRule="auto"/>
              <w:jc w:val="center"/>
              <w:rPr>
                <w:rFonts w:ascii="Inter" w:hAnsi="Inter" w:cs="Arial"/>
                <w:bCs/>
                <w:szCs w:val="22"/>
              </w:rPr>
            </w:pPr>
            <w:r w:rsidRPr="00C03415">
              <w:rPr>
                <w:rFonts w:ascii="Inter" w:hAnsi="Inter" w:cs="Arial"/>
                <w:bCs/>
                <w:szCs w:val="22"/>
              </w:rPr>
              <w:t>A</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09B606C9" w14:textId="68229E3B" w:rsidR="00F66EDA" w:rsidRPr="00C03415" w:rsidRDefault="2128447F" w:rsidP="16FD5590">
            <w:pPr>
              <w:pStyle w:val="paragraph"/>
              <w:spacing w:before="0" w:beforeAutospacing="0" w:after="0" w:afterAutospacing="0"/>
              <w:textAlignment w:val="baseline"/>
              <w:rPr>
                <w:rFonts w:ascii="Inter Light" w:hAnsi="Inter Light" w:cs="Arial"/>
                <w:bCs/>
                <w:sz w:val="22"/>
                <w:szCs w:val="22"/>
              </w:rPr>
            </w:pPr>
            <w:r w:rsidRPr="00C03415">
              <w:rPr>
                <w:rFonts w:ascii="Inter Light" w:hAnsi="Inter Light" w:cs="Arial"/>
                <w:bCs/>
                <w:sz w:val="22"/>
                <w:szCs w:val="22"/>
              </w:rPr>
              <w:t>Approve the draft Budget for Mayoral Functions for 2026/27 for consultation</w:t>
            </w:r>
          </w:p>
        </w:tc>
      </w:tr>
      <w:tr w:rsidR="00F66EDA" w:rsidRPr="00C03415" w14:paraId="00D0DA95" w14:textId="77777777" w:rsidTr="2DFE4DF5">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53384287" w14:textId="77777777" w:rsidR="00F66EDA" w:rsidRPr="00C03415" w:rsidRDefault="00F66EDA">
            <w:pPr>
              <w:spacing w:line="276" w:lineRule="auto"/>
              <w:jc w:val="center"/>
              <w:rPr>
                <w:rFonts w:ascii="Inter" w:hAnsi="Inter" w:cs="Arial"/>
                <w:bCs/>
                <w:szCs w:val="22"/>
              </w:rPr>
            </w:pPr>
            <w:r w:rsidRPr="00C03415">
              <w:rPr>
                <w:rFonts w:ascii="Inter" w:hAnsi="Inter" w:cs="Arial"/>
                <w:bCs/>
                <w:szCs w:val="22"/>
              </w:rPr>
              <w:t>B</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305D27E9" w14:textId="77777777" w:rsidR="00F66EDA" w:rsidRPr="00C03415" w:rsidRDefault="00F66EDA">
            <w:pPr>
              <w:pStyle w:val="paragraph"/>
              <w:spacing w:before="0" w:beforeAutospacing="0" w:after="0" w:afterAutospacing="0"/>
              <w:textAlignment w:val="baseline"/>
              <w:rPr>
                <w:rFonts w:ascii="Inter Light" w:hAnsi="Inter Light" w:cs="Arial"/>
                <w:bCs/>
                <w:sz w:val="22"/>
                <w:szCs w:val="22"/>
              </w:rPr>
            </w:pPr>
            <w:r w:rsidRPr="00C03415">
              <w:rPr>
                <w:rFonts w:ascii="Inter Light" w:hAnsi="Inter Light" w:cs="Arial"/>
                <w:bCs/>
                <w:sz w:val="22"/>
                <w:szCs w:val="22"/>
              </w:rPr>
              <w:t>Approve the proposed Concessionary Fares budget of £14.834m for 2026/27</w:t>
            </w:r>
          </w:p>
        </w:tc>
      </w:tr>
      <w:tr w:rsidR="00F66EDA" w:rsidRPr="00C03415" w14:paraId="30636BEA" w14:textId="77777777" w:rsidTr="2DFE4DF5">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675E3DCC" w14:textId="77777777" w:rsidR="00F66EDA" w:rsidRPr="00C03415" w:rsidRDefault="00F66EDA">
            <w:pPr>
              <w:spacing w:line="276" w:lineRule="auto"/>
              <w:jc w:val="center"/>
              <w:rPr>
                <w:rFonts w:ascii="Inter" w:hAnsi="Inter" w:cs="Arial"/>
                <w:bCs/>
                <w:szCs w:val="22"/>
              </w:rPr>
            </w:pPr>
            <w:r w:rsidRPr="00C03415">
              <w:rPr>
                <w:rFonts w:ascii="Inter" w:hAnsi="Inter" w:cs="Arial"/>
                <w:bCs/>
                <w:szCs w:val="22"/>
              </w:rPr>
              <w:t>C</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2575B9BE" w14:textId="20054286" w:rsidR="00F66EDA" w:rsidRPr="00C03415" w:rsidRDefault="2128447F" w:rsidP="16FD5590">
            <w:pPr>
              <w:pStyle w:val="paragraph"/>
              <w:spacing w:before="0" w:beforeAutospacing="0" w:after="0" w:afterAutospacing="0"/>
              <w:rPr>
                <w:rStyle w:val="normaltextrun"/>
                <w:rFonts w:ascii="Inter Light" w:hAnsi="Inter Light" w:cs="Arial"/>
                <w:bCs/>
                <w:sz w:val="22"/>
                <w:szCs w:val="22"/>
              </w:rPr>
            </w:pPr>
            <w:r w:rsidRPr="00C03415">
              <w:rPr>
                <w:rFonts w:ascii="Inter Light" w:hAnsi="Inter Light" w:cs="Arial"/>
                <w:bCs/>
                <w:sz w:val="22"/>
                <w:szCs w:val="22"/>
              </w:rPr>
              <w:t>Approve the draft Combined Authority Revenue Budget for 2026/27</w:t>
            </w:r>
            <w:r w:rsidR="03B0FFA0" w:rsidRPr="00C03415">
              <w:rPr>
                <w:rFonts w:ascii="Inter Light" w:hAnsi="Inter Light" w:cs="Arial"/>
                <w:bCs/>
                <w:sz w:val="22"/>
                <w:szCs w:val="22"/>
              </w:rPr>
              <w:t xml:space="preserve"> for consultation</w:t>
            </w:r>
          </w:p>
        </w:tc>
      </w:tr>
      <w:tr w:rsidR="00F66EDA" w:rsidRPr="00C03415" w14:paraId="1339AF4A" w14:textId="77777777" w:rsidTr="2DFE4DF5">
        <w:trPr>
          <w:trHeight w:val="300"/>
        </w:trPr>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712FCB31" w14:textId="77777777" w:rsidR="00F66EDA" w:rsidRPr="00C03415" w:rsidRDefault="00F66EDA">
            <w:pPr>
              <w:spacing w:line="276" w:lineRule="auto"/>
              <w:jc w:val="center"/>
              <w:rPr>
                <w:rFonts w:ascii="Inter" w:hAnsi="Inter" w:cs="Arial"/>
                <w:bCs/>
                <w:szCs w:val="22"/>
              </w:rPr>
            </w:pPr>
            <w:r w:rsidRPr="00C03415">
              <w:rPr>
                <w:rFonts w:ascii="Inter" w:hAnsi="Inter" w:cs="Arial"/>
                <w:bCs/>
                <w:szCs w:val="22"/>
              </w:rPr>
              <w:t>D</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5193192D" w14:textId="495A33BF" w:rsidR="00F66EDA" w:rsidRPr="00C03415" w:rsidRDefault="00F66EDA">
            <w:pPr>
              <w:pStyle w:val="paragraph"/>
              <w:spacing w:before="0" w:beforeAutospacing="0" w:after="0" w:afterAutospacing="0"/>
              <w:rPr>
                <w:rStyle w:val="normaltextrun"/>
                <w:rFonts w:ascii="Inter Light" w:hAnsi="Inter Light" w:cs="Arial"/>
                <w:bCs/>
                <w:sz w:val="22"/>
                <w:szCs w:val="22"/>
              </w:rPr>
            </w:pPr>
            <w:r w:rsidRPr="00C03415">
              <w:rPr>
                <w:rStyle w:val="normaltextrun"/>
                <w:rFonts w:ascii="Inter Light" w:hAnsi="Inter Light" w:cs="Arial"/>
                <w:bCs/>
                <w:sz w:val="22"/>
                <w:szCs w:val="22"/>
              </w:rPr>
              <w:t xml:space="preserve">Approve the proposed consultation plan set out at Appendix </w:t>
            </w:r>
            <w:r w:rsidR="00CE1D20" w:rsidRPr="00C03415">
              <w:rPr>
                <w:rStyle w:val="normaltextrun"/>
                <w:rFonts w:ascii="Inter Light" w:hAnsi="Inter Light" w:cs="Arial"/>
                <w:bCs/>
                <w:sz w:val="22"/>
                <w:szCs w:val="22"/>
              </w:rPr>
              <w:t>2</w:t>
            </w:r>
          </w:p>
        </w:tc>
      </w:tr>
      <w:tr w:rsidR="00F66EDA" w:rsidRPr="00C03415" w14:paraId="2083E338" w14:textId="77777777" w:rsidTr="2DFE4DF5">
        <w:trPr>
          <w:trHeight w:val="300"/>
        </w:trPr>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2706587D" w14:textId="77777777" w:rsidR="00F66EDA" w:rsidRPr="00C03415" w:rsidRDefault="00F66EDA">
            <w:pPr>
              <w:spacing w:line="276" w:lineRule="auto"/>
              <w:jc w:val="center"/>
              <w:rPr>
                <w:rFonts w:ascii="Inter" w:hAnsi="Inter" w:cs="Arial"/>
                <w:bCs/>
              </w:rPr>
            </w:pPr>
            <w:r w:rsidRPr="00C03415">
              <w:rPr>
                <w:rFonts w:ascii="Inter" w:hAnsi="Inter" w:cs="Arial"/>
                <w:bCs/>
              </w:rPr>
              <w:t>E</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397D8C80" w14:textId="7C32CDE9" w:rsidR="00F66EDA" w:rsidRPr="00C03415" w:rsidRDefault="00244FD5">
            <w:pPr>
              <w:pStyle w:val="paragraph"/>
              <w:spacing w:before="0" w:beforeAutospacing="0" w:after="0" w:afterAutospacing="0"/>
              <w:rPr>
                <w:rStyle w:val="normaltextrun"/>
                <w:rFonts w:ascii="Inter Light" w:hAnsi="Inter Light" w:cs="Arial"/>
                <w:bCs/>
                <w:sz w:val="22"/>
                <w:szCs w:val="22"/>
              </w:rPr>
            </w:pPr>
            <w:r w:rsidRPr="00C03415">
              <w:rPr>
                <w:rStyle w:val="normaltextrun"/>
                <w:rFonts w:ascii="Inter Light" w:hAnsi="Inter Light" w:cs="Arial"/>
                <w:bCs/>
                <w:sz w:val="22"/>
                <w:szCs w:val="22"/>
              </w:rPr>
              <w:t>Approve</w:t>
            </w:r>
            <w:r w:rsidR="00F66EDA" w:rsidRPr="00C03415">
              <w:rPr>
                <w:rStyle w:val="normaltextrun"/>
                <w:rFonts w:ascii="Inter Light" w:hAnsi="Inter Light" w:cs="Arial"/>
                <w:bCs/>
                <w:sz w:val="22"/>
                <w:szCs w:val="22"/>
              </w:rPr>
              <w:t xml:space="preserve"> the updated Medium Term Financial Plan 2026/27 to 2029/30</w:t>
            </w:r>
          </w:p>
        </w:tc>
      </w:tr>
      <w:tr w:rsidR="00F66EDA" w:rsidRPr="00C03415" w14:paraId="1960F669" w14:textId="77777777" w:rsidTr="2DFE4DF5">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7EB09137" w14:textId="77777777" w:rsidR="00F66EDA" w:rsidRPr="00C03415" w:rsidRDefault="00F66EDA">
            <w:pPr>
              <w:spacing w:line="276" w:lineRule="auto"/>
              <w:jc w:val="center"/>
              <w:rPr>
                <w:bCs/>
              </w:rPr>
            </w:pPr>
            <w:r w:rsidRPr="00C03415">
              <w:rPr>
                <w:rFonts w:ascii="Inter" w:hAnsi="Inter" w:cs="Arial"/>
                <w:bCs/>
              </w:rPr>
              <w:t>F</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56BFDBD2" w14:textId="77777777" w:rsidR="00F66EDA" w:rsidRPr="00C03415" w:rsidRDefault="00F66EDA">
            <w:pPr>
              <w:pStyle w:val="paragraph"/>
              <w:rPr>
                <w:rStyle w:val="normaltextrun"/>
                <w:rFonts w:ascii="Inter Light" w:eastAsiaTheme="minorEastAsia" w:hAnsi="Inter Light" w:cs="Arial"/>
                <w:bCs/>
                <w:sz w:val="22"/>
                <w:szCs w:val="22"/>
              </w:rPr>
            </w:pPr>
            <w:r w:rsidRPr="00C03415">
              <w:rPr>
                <w:rStyle w:val="normaltextrun"/>
                <w:rFonts w:ascii="Inter Light" w:hAnsi="Inter Light" w:cs="Arial"/>
                <w:bCs/>
                <w:sz w:val="22"/>
                <w:szCs w:val="22"/>
              </w:rPr>
              <w:t>Note the draft Capital Budget for 2026/27 and revised capital programme to 2029/30</w:t>
            </w:r>
          </w:p>
        </w:tc>
      </w:tr>
      <w:tr w:rsidR="0A9EC017" w:rsidRPr="00C03415" w14:paraId="089B7FD1" w14:textId="77777777" w:rsidTr="2DFE4DF5">
        <w:trPr>
          <w:trHeight w:val="300"/>
        </w:trPr>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03C96291" w14:textId="77777777" w:rsidR="41590B60" w:rsidRPr="00C03415" w:rsidRDefault="41590B60" w:rsidP="41590B60">
            <w:pPr>
              <w:spacing w:line="276" w:lineRule="auto"/>
              <w:jc w:val="center"/>
              <w:rPr>
                <w:bCs/>
              </w:rPr>
            </w:pPr>
            <w:r w:rsidRPr="00C03415">
              <w:rPr>
                <w:rFonts w:ascii="Inter" w:hAnsi="Inter" w:cs="Arial"/>
                <w:bCs/>
              </w:rPr>
              <w:t>G</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0249F91F" w14:textId="6BBD3268" w:rsidR="0A9EC017" w:rsidRPr="00C03415" w:rsidRDefault="1DFA6119" w:rsidP="2DFE4DF5">
            <w:pPr>
              <w:pStyle w:val="paragraph"/>
              <w:rPr>
                <w:rFonts w:ascii="Inter Light" w:eastAsia="Inter Light" w:hAnsi="Inter Light" w:cs="Inter Light"/>
                <w:color w:val="000000" w:themeColor="text2"/>
                <w:sz w:val="22"/>
                <w:szCs w:val="22"/>
              </w:rPr>
            </w:pPr>
            <w:r w:rsidRPr="00C03415">
              <w:rPr>
                <w:rStyle w:val="normaltextrun"/>
                <w:rFonts w:ascii="Inter Light" w:hAnsi="Inter Light" w:cs="Arial"/>
                <w:bCs/>
                <w:sz w:val="22"/>
                <w:szCs w:val="22"/>
              </w:rPr>
              <w:t xml:space="preserve">Approve the transfers to/from reserves </w:t>
            </w:r>
            <w:r w:rsidR="78F44099" w:rsidRPr="00C03415">
              <w:rPr>
                <w:rFonts w:ascii="Inter Light" w:eastAsia="Inter Light" w:hAnsi="Inter Light" w:cs="Inter Light"/>
                <w:bCs/>
                <w:color w:val="000000" w:themeColor="text2"/>
                <w:sz w:val="22"/>
                <w:szCs w:val="22"/>
              </w:rPr>
              <w:t xml:space="preserve">as set out in </w:t>
            </w:r>
            <w:r w:rsidR="00FC034D">
              <w:rPr>
                <w:rFonts w:ascii="Inter Light" w:eastAsia="Inter Light" w:hAnsi="Inter Light" w:cs="Inter Light"/>
                <w:bCs/>
                <w:color w:val="000000" w:themeColor="text2"/>
                <w:sz w:val="22"/>
                <w:szCs w:val="22"/>
              </w:rPr>
              <w:t>Table 17</w:t>
            </w:r>
          </w:p>
        </w:tc>
      </w:tr>
      <w:tr w:rsidR="00F66EDA" w:rsidRPr="00C03415" w14:paraId="47CF62D5" w14:textId="77777777" w:rsidTr="2DFE4DF5">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13FCA03D" w14:textId="77777777" w:rsidR="41590B60" w:rsidRPr="00C03415" w:rsidRDefault="41590B60" w:rsidP="41590B60">
            <w:pPr>
              <w:spacing w:line="276" w:lineRule="auto"/>
              <w:jc w:val="center"/>
              <w:rPr>
                <w:bCs/>
              </w:rPr>
            </w:pPr>
            <w:r w:rsidRPr="00C03415">
              <w:rPr>
                <w:rFonts w:ascii="Inter" w:hAnsi="Inter" w:cs="Arial"/>
                <w:bCs/>
              </w:rPr>
              <w:t>H</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3BD725BC" w14:textId="5EFF2CCE" w:rsidR="00F66EDA" w:rsidRPr="00C03415" w:rsidRDefault="00F66EDA">
            <w:pPr>
              <w:pStyle w:val="paragraph"/>
              <w:spacing w:before="0" w:beforeAutospacing="0" w:after="0" w:afterAutospacing="0"/>
              <w:rPr>
                <w:rStyle w:val="normaltextrun"/>
                <w:rFonts w:ascii="Inter Light" w:eastAsiaTheme="minorEastAsia" w:hAnsi="Inter Light" w:cs="Arial"/>
                <w:bCs/>
                <w:sz w:val="22"/>
                <w:szCs w:val="22"/>
              </w:rPr>
            </w:pPr>
            <w:r w:rsidRPr="00C03415">
              <w:rPr>
                <w:rStyle w:val="normaltextrun"/>
                <w:rFonts w:ascii="Inter Light" w:eastAsiaTheme="minorEastAsia" w:hAnsi="Inter Light" w:cs="Arial"/>
                <w:bCs/>
                <w:sz w:val="22"/>
                <w:szCs w:val="22"/>
              </w:rPr>
              <w:t xml:space="preserve">Note the forecast revenue reserves </w:t>
            </w:r>
            <w:r w:rsidR="000D1B67" w:rsidRPr="00C03415">
              <w:rPr>
                <w:rStyle w:val="normaltextrun"/>
                <w:rFonts w:ascii="Inter Light" w:eastAsiaTheme="minorEastAsia" w:hAnsi="Inter Light" w:cs="Arial"/>
                <w:bCs/>
                <w:sz w:val="22"/>
                <w:szCs w:val="22"/>
              </w:rPr>
              <w:t>on</w:t>
            </w:r>
            <w:r w:rsidRPr="00C03415">
              <w:rPr>
                <w:rStyle w:val="normaltextrun"/>
                <w:rFonts w:ascii="Inter Light" w:eastAsiaTheme="minorEastAsia" w:hAnsi="Inter Light" w:cs="Arial"/>
                <w:bCs/>
                <w:sz w:val="22"/>
                <w:szCs w:val="22"/>
              </w:rPr>
              <w:t xml:space="preserve"> 31 March 2027</w:t>
            </w:r>
          </w:p>
        </w:tc>
      </w:tr>
      <w:tr w:rsidR="00F66EDA" w:rsidRPr="00C03415" w14:paraId="2A5E007C" w14:textId="77777777" w:rsidTr="2DFE4DF5">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133715F7" w14:textId="77777777" w:rsidR="41590B60" w:rsidRPr="00C03415" w:rsidRDefault="41590B60" w:rsidP="41590B60">
            <w:pPr>
              <w:spacing w:line="276" w:lineRule="auto"/>
              <w:jc w:val="center"/>
              <w:rPr>
                <w:bCs/>
              </w:rPr>
            </w:pPr>
            <w:r w:rsidRPr="00C03415">
              <w:rPr>
                <w:rFonts w:ascii="Inter" w:hAnsi="Inter" w:cs="Arial"/>
                <w:bCs/>
              </w:rPr>
              <w:t>I</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3840D5FC" w14:textId="47D48400" w:rsidR="00F66EDA" w:rsidRPr="00C03415" w:rsidRDefault="00F66EDA">
            <w:pPr>
              <w:pStyle w:val="paragraph"/>
              <w:spacing w:before="0" w:beforeAutospacing="0" w:after="0" w:afterAutospacing="0"/>
              <w:rPr>
                <w:rStyle w:val="normaltextrun"/>
                <w:rFonts w:ascii="Inter Light" w:hAnsi="Inter Light" w:cs="Arial"/>
                <w:bCs/>
                <w:sz w:val="22"/>
                <w:szCs w:val="22"/>
              </w:rPr>
            </w:pPr>
            <w:r w:rsidRPr="00C03415">
              <w:rPr>
                <w:rStyle w:val="normaltextrun"/>
                <w:rFonts w:ascii="Inter Light" w:hAnsi="Inter Light" w:cs="Arial"/>
                <w:bCs/>
                <w:sz w:val="22"/>
                <w:szCs w:val="22"/>
              </w:rPr>
              <w:t xml:space="preserve">Note the forecast capital reserves </w:t>
            </w:r>
            <w:r w:rsidR="000D1B67" w:rsidRPr="00C03415">
              <w:rPr>
                <w:rStyle w:val="normaltextrun"/>
                <w:rFonts w:ascii="Inter Light" w:hAnsi="Inter Light" w:cs="Arial"/>
                <w:bCs/>
                <w:sz w:val="22"/>
                <w:szCs w:val="22"/>
              </w:rPr>
              <w:t>on</w:t>
            </w:r>
            <w:r w:rsidRPr="00C03415">
              <w:rPr>
                <w:rStyle w:val="normaltextrun"/>
                <w:rFonts w:ascii="Inter Light" w:hAnsi="Inter Light" w:cs="Arial"/>
                <w:bCs/>
                <w:sz w:val="22"/>
                <w:szCs w:val="22"/>
              </w:rPr>
              <w:t xml:space="preserve"> 31 March 2027</w:t>
            </w:r>
          </w:p>
        </w:tc>
      </w:tr>
      <w:tr w:rsidR="00F66EDA" w:rsidRPr="00C03415" w14:paraId="44B25149" w14:textId="77777777" w:rsidTr="2DFE4DF5">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5BC0AFB0" w14:textId="77777777" w:rsidR="41590B60" w:rsidRPr="00C03415" w:rsidRDefault="41590B60" w:rsidP="41590B60">
            <w:pPr>
              <w:spacing w:line="276" w:lineRule="auto"/>
              <w:jc w:val="center"/>
              <w:rPr>
                <w:rFonts w:ascii="Inter" w:hAnsi="Inter" w:cs="Arial"/>
                <w:bCs/>
              </w:rPr>
            </w:pPr>
            <w:r w:rsidRPr="00C03415">
              <w:rPr>
                <w:rFonts w:ascii="Inter" w:hAnsi="Inter" w:cs="Arial"/>
                <w:bCs/>
              </w:rPr>
              <w:t>J</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4900F48B" w14:textId="77777777" w:rsidR="00F66EDA" w:rsidRPr="00C03415" w:rsidRDefault="00F66EDA">
            <w:pPr>
              <w:pStyle w:val="paragraph"/>
              <w:spacing w:before="0" w:beforeAutospacing="0" w:after="0" w:afterAutospacing="0"/>
              <w:rPr>
                <w:rStyle w:val="normaltextrun"/>
                <w:rFonts w:ascii="Inter Light" w:hAnsi="Inter Light" w:cs="Arial"/>
                <w:bCs/>
                <w:sz w:val="22"/>
                <w:szCs w:val="22"/>
              </w:rPr>
            </w:pPr>
            <w:r w:rsidRPr="00C03415">
              <w:rPr>
                <w:rStyle w:val="normaltextrun"/>
                <w:rFonts w:ascii="Inter Light" w:hAnsi="Inter Light" w:cs="Arial"/>
                <w:bCs/>
                <w:sz w:val="22"/>
                <w:szCs w:val="22"/>
              </w:rPr>
              <w:t>Note the key financial risks for the MTFP period</w:t>
            </w:r>
          </w:p>
        </w:tc>
      </w:tr>
      <w:tr w:rsidR="00F66EDA" w:rsidRPr="00C03415" w14:paraId="34B1A471" w14:textId="77777777" w:rsidTr="2DFE4DF5">
        <w:tc>
          <w:tcPr>
            <w:tcW w:w="1702"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07E540BA" w14:textId="5EE948A2" w:rsidR="00F66EDA" w:rsidRPr="00C03415" w:rsidRDefault="74AEF648" w:rsidP="7DC21327">
            <w:pPr>
              <w:spacing w:line="276" w:lineRule="auto"/>
              <w:jc w:val="center"/>
              <w:rPr>
                <w:bCs/>
              </w:rPr>
            </w:pPr>
            <w:r w:rsidRPr="00C03415">
              <w:rPr>
                <w:rFonts w:ascii="Inter" w:hAnsi="Inter" w:cs="Arial"/>
                <w:bCs/>
              </w:rPr>
              <w:t>K</w:t>
            </w:r>
          </w:p>
        </w:tc>
        <w:tc>
          <w:tcPr>
            <w:tcW w:w="7930" w:type="dxa"/>
            <w:tcBorders>
              <w:top w:val="single" w:sz="24" w:space="0" w:color="DDDDDD" w:themeColor="accent1"/>
              <w:left w:val="single" w:sz="24" w:space="0" w:color="DDDDDD" w:themeColor="accent1"/>
              <w:bottom w:val="single" w:sz="24" w:space="0" w:color="DDDDDD" w:themeColor="accent1"/>
              <w:right w:val="single" w:sz="24" w:space="0" w:color="DDDDDD" w:themeColor="accent1"/>
            </w:tcBorders>
            <w:shd w:val="clear" w:color="auto" w:fill="F2F2F2" w:themeFill="background1" w:themeFillShade="F2"/>
          </w:tcPr>
          <w:p w14:paraId="00F0E5EF" w14:textId="77777777" w:rsidR="00F66EDA" w:rsidRPr="00C03415" w:rsidRDefault="00F66EDA">
            <w:pPr>
              <w:pStyle w:val="paragraph"/>
              <w:spacing w:before="0" w:beforeAutospacing="0" w:after="0" w:afterAutospacing="0"/>
              <w:rPr>
                <w:rStyle w:val="normaltextrun"/>
                <w:rFonts w:ascii="Inter Light" w:hAnsi="Inter Light" w:cs="Arial"/>
                <w:bCs/>
                <w:sz w:val="22"/>
                <w:szCs w:val="22"/>
              </w:rPr>
            </w:pPr>
            <w:r w:rsidRPr="00C03415">
              <w:rPr>
                <w:rStyle w:val="normaltextrun"/>
                <w:rFonts w:ascii="Inter Light" w:hAnsi="Inter Light" w:cs="Arial"/>
                <w:bCs/>
                <w:sz w:val="22"/>
                <w:szCs w:val="22"/>
              </w:rPr>
              <w:t>Note that the S73 Officer’s S25 Statement will be included with the final budget proposals</w:t>
            </w:r>
          </w:p>
        </w:tc>
      </w:tr>
    </w:tbl>
    <w:p w14:paraId="3ECAB1B9" w14:textId="77777777" w:rsidR="00EB31C6" w:rsidRPr="009D7A02" w:rsidRDefault="00EB31C6" w:rsidP="00A94258">
      <w:pPr>
        <w:spacing w:line="276" w:lineRule="auto"/>
        <w:jc w:val="both"/>
        <w:rPr>
          <w:rFonts w:ascii="Inter" w:hAnsi="Inter" w:cs="Arial"/>
          <w:b/>
          <w:bCs/>
          <w:szCs w:val="22"/>
        </w:rPr>
      </w:pPr>
    </w:p>
    <w:p w14:paraId="0EF02F5B" w14:textId="544592B1" w:rsidR="00EB31C6" w:rsidRPr="009D7A02" w:rsidRDefault="00EB31C6" w:rsidP="00C26AA6">
      <w:pPr>
        <w:ind w:left="284" w:hanging="284"/>
        <w:rPr>
          <w:rFonts w:ascii="Inter" w:hAnsi="Inter" w:cs="Arial"/>
          <w:b/>
          <w:bCs/>
        </w:rPr>
      </w:pPr>
      <w:r w:rsidRPr="009D7A02">
        <w:rPr>
          <w:rFonts w:ascii="Inter" w:hAnsi="Inter" w:cs="Arial"/>
          <w:b/>
          <w:bCs/>
        </w:rPr>
        <w:t>Purpose</w:t>
      </w:r>
    </w:p>
    <w:p w14:paraId="64945108" w14:textId="77777777" w:rsidR="00EB31C6" w:rsidRPr="009D7A02" w:rsidRDefault="00EB31C6" w:rsidP="00687C07">
      <w:pPr>
        <w:rPr>
          <w:rFonts w:cs="Arial"/>
        </w:rPr>
      </w:pPr>
    </w:p>
    <w:p w14:paraId="2DB11117" w14:textId="6A41BEB8" w:rsidR="00C26AA6" w:rsidRPr="009D7A02" w:rsidRDefault="00C26AA6" w:rsidP="00AD4EE9">
      <w:pPr>
        <w:pStyle w:val="ListParagraph"/>
        <w:numPr>
          <w:ilvl w:val="0"/>
          <w:numId w:val="10"/>
        </w:numPr>
        <w:spacing w:line="276" w:lineRule="auto"/>
        <w:ind w:left="567" w:hanging="567"/>
        <w:jc w:val="both"/>
        <w:rPr>
          <w:rFonts w:ascii="Inter" w:hAnsi="Inter" w:cs="Arial"/>
        </w:rPr>
      </w:pPr>
      <w:r w:rsidRPr="7DC21327">
        <w:rPr>
          <w:rFonts w:ascii="Inter" w:hAnsi="Inter" w:cs="Arial"/>
        </w:rPr>
        <w:t xml:space="preserve">This report presents </w:t>
      </w:r>
      <w:r w:rsidR="66C5BA6D" w:rsidRPr="7DC21327">
        <w:rPr>
          <w:rFonts w:ascii="Inter" w:hAnsi="Inter" w:cs="Arial"/>
        </w:rPr>
        <w:t xml:space="preserve">the </w:t>
      </w:r>
      <w:r w:rsidRPr="7DC21327">
        <w:rPr>
          <w:rFonts w:ascii="Inter" w:hAnsi="Inter" w:cs="Arial"/>
        </w:rPr>
        <w:t>draft revenue budget for the Mayoral General Functions for 2026/</w:t>
      </w:r>
      <w:r w:rsidR="2198942E" w:rsidRPr="7DC21327">
        <w:rPr>
          <w:rFonts w:ascii="Inter" w:hAnsi="Inter" w:cs="Arial"/>
        </w:rPr>
        <w:t>2</w:t>
      </w:r>
      <w:r w:rsidRPr="7DC21327">
        <w:rPr>
          <w:rFonts w:ascii="Inter" w:hAnsi="Inter" w:cs="Arial"/>
        </w:rPr>
        <w:t>7 and proposed consultation plan for approval.</w:t>
      </w:r>
    </w:p>
    <w:p w14:paraId="7CE978BE" w14:textId="77777777" w:rsidR="00C26AA6" w:rsidRPr="009D7A02" w:rsidRDefault="00C26AA6" w:rsidP="00267B7A">
      <w:pPr>
        <w:spacing w:line="276" w:lineRule="auto"/>
        <w:ind w:left="567" w:hanging="567"/>
        <w:jc w:val="both"/>
        <w:rPr>
          <w:rFonts w:ascii="Inter" w:hAnsi="Inter" w:cs="Arial"/>
        </w:rPr>
      </w:pPr>
    </w:p>
    <w:p w14:paraId="23CA059D" w14:textId="77777777" w:rsidR="00C26AA6" w:rsidRPr="009D7A02" w:rsidRDefault="00C26AA6" w:rsidP="00AD4EE9">
      <w:pPr>
        <w:pStyle w:val="ListParagraph"/>
        <w:numPr>
          <w:ilvl w:val="0"/>
          <w:numId w:val="10"/>
        </w:numPr>
        <w:spacing w:line="276" w:lineRule="auto"/>
        <w:ind w:left="567" w:hanging="567"/>
        <w:jc w:val="both"/>
        <w:rPr>
          <w:rFonts w:ascii="Inter" w:hAnsi="Inter" w:cs="Arial"/>
        </w:rPr>
      </w:pPr>
      <w:r w:rsidRPr="009D7A02">
        <w:rPr>
          <w:rFonts w:ascii="Inter" w:hAnsi="Inter" w:cs="Arial"/>
        </w:rPr>
        <w:t>As the Transport Authority for the region, Tees Valley Combined Authority (TVCA) Cabinet is asked to approve the proposed Concessionary Fares charge for 2026/27 to enable constituent local authorities to include those amounts within their final budgets for the forthcoming financial year.</w:t>
      </w:r>
    </w:p>
    <w:p w14:paraId="184623CA" w14:textId="77777777" w:rsidR="00C26AA6" w:rsidRPr="009D7A02" w:rsidRDefault="00C26AA6" w:rsidP="00267B7A">
      <w:pPr>
        <w:spacing w:line="276" w:lineRule="auto"/>
        <w:ind w:left="567" w:hanging="567"/>
        <w:jc w:val="both"/>
        <w:rPr>
          <w:rFonts w:ascii="Inter" w:hAnsi="Inter" w:cs="Arial"/>
          <w:szCs w:val="22"/>
        </w:rPr>
      </w:pPr>
    </w:p>
    <w:p w14:paraId="55D7C85C" w14:textId="77777777" w:rsidR="00C26AA6" w:rsidRPr="009D7A02" w:rsidRDefault="00C26AA6" w:rsidP="00AD4EE9">
      <w:pPr>
        <w:pStyle w:val="ListParagraph"/>
        <w:numPr>
          <w:ilvl w:val="0"/>
          <w:numId w:val="10"/>
        </w:numPr>
        <w:spacing w:line="276" w:lineRule="auto"/>
        <w:ind w:left="567" w:hanging="567"/>
        <w:jc w:val="both"/>
        <w:rPr>
          <w:rFonts w:ascii="Inter" w:hAnsi="Inter" w:cs="Arial"/>
          <w:szCs w:val="22"/>
        </w:rPr>
      </w:pPr>
      <w:r w:rsidRPr="009D7A02">
        <w:rPr>
          <w:rFonts w:ascii="Inter" w:hAnsi="Inter" w:cs="Arial"/>
          <w:szCs w:val="22"/>
        </w:rPr>
        <w:t>The draft revenue budget for the Combined Authority for 2026/27 is also presented to Cabinet together with a revised Medium Term Financial Plan (MTFP) covering the period to 2029/30.</w:t>
      </w:r>
    </w:p>
    <w:p w14:paraId="522E524E" w14:textId="77777777" w:rsidR="00C26AA6" w:rsidRPr="009D7A02" w:rsidRDefault="00C26AA6" w:rsidP="00267B7A">
      <w:pPr>
        <w:spacing w:line="276" w:lineRule="auto"/>
        <w:ind w:left="567" w:hanging="567"/>
        <w:jc w:val="both"/>
        <w:rPr>
          <w:rFonts w:ascii="Inter" w:hAnsi="Inter" w:cs="Arial"/>
          <w:szCs w:val="22"/>
        </w:rPr>
      </w:pPr>
    </w:p>
    <w:p w14:paraId="56184EDB" w14:textId="4436A6DE" w:rsidR="00C26AA6" w:rsidRPr="009D7A02" w:rsidRDefault="00C26AA6" w:rsidP="00AD4EE9">
      <w:pPr>
        <w:pStyle w:val="ListParagraph"/>
        <w:numPr>
          <w:ilvl w:val="0"/>
          <w:numId w:val="10"/>
        </w:numPr>
        <w:spacing w:line="276" w:lineRule="auto"/>
        <w:ind w:left="567" w:hanging="567"/>
        <w:jc w:val="both"/>
        <w:rPr>
          <w:rFonts w:ascii="Inter" w:hAnsi="Inter" w:cs="Arial"/>
        </w:rPr>
      </w:pPr>
      <w:r w:rsidRPr="009D7A02">
        <w:rPr>
          <w:rFonts w:ascii="Inter" w:hAnsi="Inter" w:cs="Arial"/>
        </w:rPr>
        <w:t>Key assumptions and</w:t>
      </w:r>
      <w:r w:rsidR="42E16A5F" w:rsidRPr="009D7A02">
        <w:rPr>
          <w:rFonts w:ascii="Inter" w:hAnsi="Inter" w:cs="Arial"/>
        </w:rPr>
        <w:t xml:space="preserve"> </w:t>
      </w:r>
      <w:r w:rsidRPr="009D7A02">
        <w:rPr>
          <w:rFonts w:ascii="Inter" w:hAnsi="Inter" w:cs="Arial"/>
        </w:rPr>
        <w:t>risks in setting the final budgets for the forthcoming financial year and future years are also highlighted, as well as any outstanding matters relating to uncertainties at the draft budget stage.</w:t>
      </w:r>
    </w:p>
    <w:p w14:paraId="7D95FD33" w14:textId="77777777" w:rsidR="00C26AA6" w:rsidRPr="009D7A02" w:rsidRDefault="00C26AA6" w:rsidP="00267B7A">
      <w:pPr>
        <w:spacing w:line="276" w:lineRule="auto"/>
        <w:ind w:left="567" w:hanging="567"/>
        <w:jc w:val="both"/>
        <w:rPr>
          <w:rFonts w:ascii="Inter" w:hAnsi="Inter" w:cs="Arial"/>
          <w:szCs w:val="22"/>
        </w:rPr>
      </w:pPr>
    </w:p>
    <w:p w14:paraId="7E1F7EF7" w14:textId="77777777" w:rsidR="00C26AA6" w:rsidRPr="009D7A02" w:rsidRDefault="00C26AA6" w:rsidP="00AD4EE9">
      <w:pPr>
        <w:pStyle w:val="ListParagraph"/>
        <w:numPr>
          <w:ilvl w:val="0"/>
          <w:numId w:val="10"/>
        </w:numPr>
        <w:spacing w:line="276" w:lineRule="auto"/>
        <w:ind w:left="567" w:hanging="567"/>
        <w:jc w:val="both"/>
        <w:rPr>
          <w:rFonts w:ascii="Inter" w:hAnsi="Inter" w:cs="Arial"/>
          <w:szCs w:val="22"/>
        </w:rPr>
      </w:pPr>
      <w:r w:rsidRPr="009D7A02">
        <w:rPr>
          <w:rFonts w:ascii="Inter" w:hAnsi="Inter" w:cs="Arial"/>
          <w:szCs w:val="22"/>
        </w:rPr>
        <w:t>Cabinet is also presented with the revised three-year Capital Programme to 2029/30 for approval, together with the Authority’s proposed Capital Budget for 2026/27.</w:t>
      </w:r>
    </w:p>
    <w:p w14:paraId="1956CA3C" w14:textId="77777777" w:rsidR="00C26AA6" w:rsidRPr="009D7A02" w:rsidRDefault="00C26AA6" w:rsidP="00267B7A">
      <w:pPr>
        <w:spacing w:line="276" w:lineRule="auto"/>
        <w:ind w:left="567" w:hanging="567"/>
        <w:jc w:val="both"/>
        <w:rPr>
          <w:rFonts w:ascii="Inter" w:hAnsi="Inter" w:cs="Arial"/>
          <w:szCs w:val="22"/>
        </w:rPr>
      </w:pPr>
    </w:p>
    <w:p w14:paraId="6E6BAD9D" w14:textId="1C4C9A93" w:rsidR="00EB31C6" w:rsidRPr="009D7A02" w:rsidRDefault="00C26AA6" w:rsidP="00AD4EE9">
      <w:pPr>
        <w:pStyle w:val="ListParagraph"/>
        <w:numPr>
          <w:ilvl w:val="0"/>
          <w:numId w:val="10"/>
        </w:numPr>
        <w:ind w:left="567" w:hanging="567"/>
        <w:rPr>
          <w:rFonts w:ascii="Inter" w:hAnsi="Inter" w:cs="Arial"/>
        </w:rPr>
      </w:pPr>
      <w:r w:rsidRPr="009D7A02">
        <w:rPr>
          <w:rFonts w:ascii="Inter" w:hAnsi="Inter" w:cs="Arial"/>
          <w:szCs w:val="22"/>
        </w:rPr>
        <w:t xml:space="preserve">This report also presents the forecast usable revenue and capital reserves as </w:t>
      </w:r>
      <w:r w:rsidR="000D1B67" w:rsidRPr="009D7A02">
        <w:rPr>
          <w:rFonts w:ascii="Inter" w:hAnsi="Inter" w:cs="Arial"/>
          <w:szCs w:val="22"/>
        </w:rPr>
        <w:t>of</w:t>
      </w:r>
      <w:r w:rsidRPr="009D7A02">
        <w:rPr>
          <w:rFonts w:ascii="Inter" w:hAnsi="Inter" w:cs="Arial"/>
          <w:szCs w:val="22"/>
        </w:rPr>
        <w:t xml:space="preserve"> 31 March 2027 incorporating the financial implications of the proposed draft revenue and capital budget impacts.</w:t>
      </w:r>
    </w:p>
    <w:p w14:paraId="1444E06E" w14:textId="77777777" w:rsidR="00EB31C6" w:rsidRPr="009D7A02" w:rsidRDefault="00EB31C6" w:rsidP="00267B7A">
      <w:pPr>
        <w:ind w:hanging="567"/>
        <w:rPr>
          <w:rFonts w:ascii="Inter" w:hAnsi="Inter" w:cs="Arial"/>
        </w:rPr>
      </w:pPr>
    </w:p>
    <w:p w14:paraId="3227FBCA" w14:textId="5F346078" w:rsidR="16FD5590" w:rsidRPr="009D7A02" w:rsidRDefault="16FD5590" w:rsidP="16FD5590">
      <w:pPr>
        <w:ind w:hanging="567"/>
        <w:rPr>
          <w:rFonts w:ascii="Inter" w:hAnsi="Inter" w:cs="Arial"/>
        </w:rPr>
      </w:pPr>
    </w:p>
    <w:p w14:paraId="1EBAE930" w14:textId="52B48073" w:rsidR="00C26AA6" w:rsidRPr="009D7A02" w:rsidRDefault="00C26AA6" w:rsidP="00C26AA6">
      <w:pPr>
        <w:ind w:left="284" w:hanging="284"/>
        <w:rPr>
          <w:rFonts w:ascii="Inter" w:hAnsi="Inter" w:cs="Arial"/>
          <w:b/>
          <w:bCs/>
        </w:rPr>
      </w:pPr>
      <w:r w:rsidRPr="009D7A02">
        <w:rPr>
          <w:rFonts w:ascii="Inter" w:hAnsi="Inter" w:cs="Arial"/>
          <w:b/>
          <w:bCs/>
        </w:rPr>
        <w:t>EXECUTIVE SUMMARY</w:t>
      </w:r>
    </w:p>
    <w:p w14:paraId="4D48B948" w14:textId="77777777" w:rsidR="00C26AA6" w:rsidRPr="009D7A02" w:rsidRDefault="00C26AA6" w:rsidP="00C26AA6">
      <w:pPr>
        <w:ind w:left="284" w:hanging="284"/>
        <w:rPr>
          <w:rFonts w:ascii="Inter" w:hAnsi="Inter" w:cs="Arial"/>
          <w:b/>
          <w:bCs/>
        </w:rPr>
      </w:pPr>
    </w:p>
    <w:p w14:paraId="0CDC41BD" w14:textId="09406814"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As set out in the TVCA Constitution and required by law, a draft budget for the Mayoral Functions, for the purposes of consultation, must be presented by 1 February each year, for the following financial year.  For 2026/27, the Tees Valley Mayor is not proposing a precept and therefore the draft budget set out in this report comprises merely the Mayoral Office budget.</w:t>
      </w:r>
    </w:p>
    <w:p w14:paraId="78D29E43" w14:textId="77777777" w:rsidR="00C26AA6" w:rsidRPr="009D7A02" w:rsidRDefault="00C26AA6" w:rsidP="00267B7A">
      <w:pPr>
        <w:spacing w:line="276" w:lineRule="auto"/>
        <w:ind w:left="567" w:hanging="567"/>
        <w:rPr>
          <w:rFonts w:ascii="Inter" w:hAnsi="Inter" w:cs="Arial"/>
          <w:szCs w:val="22"/>
        </w:rPr>
      </w:pPr>
    </w:p>
    <w:p w14:paraId="430E6FCB" w14:textId="6DBDC4D5"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In addition, each year a draft budget must also be separately proposed for the Combined Authority for the following financial year.  The accounting for this must comply with local authority accounting principles and relevant codes.  This report therefore proposes the TVCA General Fund Revenue Budget for 2026/27</w:t>
      </w:r>
      <w:r w:rsidR="00AC5CF0">
        <w:rPr>
          <w:rFonts w:ascii="Inter" w:hAnsi="Inter" w:cs="Arial"/>
        </w:rPr>
        <w:t>.</w:t>
      </w:r>
    </w:p>
    <w:p w14:paraId="1BE3978A" w14:textId="77777777" w:rsidR="00C26AA6" w:rsidRPr="009D7A02" w:rsidRDefault="00C26AA6" w:rsidP="00267B7A">
      <w:pPr>
        <w:spacing w:line="276" w:lineRule="auto"/>
        <w:ind w:left="567" w:hanging="567"/>
        <w:rPr>
          <w:rFonts w:ascii="Inter" w:hAnsi="Inter" w:cs="Arial"/>
          <w:szCs w:val="22"/>
        </w:rPr>
      </w:pPr>
    </w:p>
    <w:p w14:paraId="053945FA" w14:textId="77777777" w:rsidR="00C26AA6" w:rsidRPr="009D7A02" w:rsidRDefault="00C26AA6" w:rsidP="00AD4EE9">
      <w:pPr>
        <w:pStyle w:val="ListParagraph"/>
        <w:numPr>
          <w:ilvl w:val="0"/>
          <w:numId w:val="10"/>
        </w:numPr>
        <w:spacing w:line="276" w:lineRule="auto"/>
        <w:ind w:left="567" w:hanging="567"/>
        <w:rPr>
          <w:rFonts w:ascii="Inter" w:hAnsi="Inter" w:cs="Arial"/>
          <w:szCs w:val="22"/>
        </w:rPr>
      </w:pPr>
      <w:r w:rsidRPr="009D7A02">
        <w:rPr>
          <w:rFonts w:ascii="Inter" w:hAnsi="Inter" w:cs="Arial"/>
          <w:szCs w:val="22"/>
        </w:rPr>
        <w:t>Under local authority accounting rules, the Combined Authority is required by law to set a balanced revenue budget for the forthcoming financial year and the draft budget proposed for 2026/27 complies with this requirement.</w:t>
      </w:r>
    </w:p>
    <w:p w14:paraId="013E4E2F" w14:textId="77777777" w:rsidR="00C26AA6" w:rsidRPr="009D7A02" w:rsidRDefault="00C26AA6" w:rsidP="00267B7A">
      <w:pPr>
        <w:spacing w:line="276" w:lineRule="auto"/>
        <w:ind w:left="567" w:hanging="567"/>
        <w:rPr>
          <w:rFonts w:ascii="Inter" w:hAnsi="Inter" w:cs="Arial"/>
          <w:szCs w:val="22"/>
        </w:rPr>
      </w:pPr>
    </w:p>
    <w:p w14:paraId="4E4A03B1" w14:textId="77777777"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The proposed budget includes</w:t>
      </w:r>
      <w:r w:rsidRPr="009D7A02">
        <w:rPr>
          <w:rFonts w:ascii="Inter" w:hAnsi="Inter" w:cs="Arial"/>
          <w:color w:val="auto"/>
        </w:rPr>
        <w:t xml:space="preserve"> a planned </w:t>
      </w:r>
      <w:r w:rsidRPr="009363C1">
        <w:rPr>
          <w:rFonts w:ascii="Inter" w:hAnsi="Inter" w:cs="Arial"/>
          <w:color w:val="auto"/>
        </w:rPr>
        <w:t>drawdown of £2.497m from the Authority’s earmarked reserves. This drawdown represents the use</w:t>
      </w:r>
      <w:r w:rsidRPr="009D7A02">
        <w:rPr>
          <w:rFonts w:ascii="Inter" w:hAnsi="Inter" w:cs="Arial"/>
          <w:color w:val="auto"/>
        </w:rPr>
        <w:t xml:space="preserve"> of uns</w:t>
      </w:r>
      <w:r w:rsidRPr="009D7A02">
        <w:rPr>
          <w:rFonts w:ascii="Inter" w:hAnsi="Inter" w:cs="Arial"/>
        </w:rPr>
        <w:t>pent, ringfenced grant funds from previous years.</w:t>
      </w:r>
    </w:p>
    <w:p w14:paraId="087C73FF" w14:textId="77777777" w:rsidR="00C26AA6" w:rsidRPr="009D7A02" w:rsidRDefault="00C26AA6" w:rsidP="00267B7A">
      <w:pPr>
        <w:spacing w:line="276" w:lineRule="auto"/>
        <w:ind w:left="567" w:hanging="567"/>
        <w:rPr>
          <w:rFonts w:ascii="Inter" w:hAnsi="Inter" w:cs="Arial"/>
          <w:szCs w:val="22"/>
        </w:rPr>
      </w:pPr>
    </w:p>
    <w:p w14:paraId="297AC2A6" w14:textId="77777777" w:rsidR="00C26AA6" w:rsidRPr="009D7A02" w:rsidRDefault="00C26AA6" w:rsidP="00AD4EE9">
      <w:pPr>
        <w:pStyle w:val="ListParagraph"/>
        <w:numPr>
          <w:ilvl w:val="0"/>
          <w:numId w:val="10"/>
        </w:numPr>
        <w:spacing w:line="276" w:lineRule="auto"/>
        <w:ind w:left="567" w:hanging="567"/>
        <w:rPr>
          <w:rFonts w:ascii="Inter" w:hAnsi="Inter" w:cs="Arial"/>
          <w:szCs w:val="22"/>
        </w:rPr>
      </w:pPr>
      <w:r w:rsidRPr="009D7A02">
        <w:rPr>
          <w:rFonts w:ascii="Inter" w:hAnsi="Inter" w:cs="Arial"/>
          <w:szCs w:val="22"/>
        </w:rPr>
        <w:t>This report sets out the latest assumptions and estimates underpinning the budget proposals for consideration and Cabinet should consider whether those assumptions are reasonable in approving the draft budget.</w:t>
      </w:r>
    </w:p>
    <w:p w14:paraId="658A18F1" w14:textId="77777777" w:rsidR="00C26AA6" w:rsidRPr="009D7A02" w:rsidRDefault="00C26AA6" w:rsidP="00267B7A">
      <w:pPr>
        <w:spacing w:line="276" w:lineRule="auto"/>
        <w:ind w:left="567" w:hanging="567"/>
        <w:rPr>
          <w:rFonts w:ascii="Inter" w:hAnsi="Inter" w:cs="Arial"/>
          <w:szCs w:val="22"/>
        </w:rPr>
      </w:pPr>
    </w:p>
    <w:p w14:paraId="7DEBD00E" w14:textId="3B2B1104"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Cabinet is also being presented with the proposed consultation plan which is a legal requirement in respect of the Mayoral General Functions where a precept is being levied.  Whilst this is not the case for the draft budget proposed for 2026/27,</w:t>
      </w:r>
      <w:r w:rsidR="2649C32F" w:rsidRPr="009D7A02">
        <w:rPr>
          <w:rFonts w:ascii="Inter" w:hAnsi="Inter" w:cs="Arial"/>
        </w:rPr>
        <w:t xml:space="preserve"> in accordance with the </w:t>
      </w:r>
      <w:r w:rsidR="00211251">
        <w:rPr>
          <w:rFonts w:ascii="Inter" w:hAnsi="Inter" w:cs="Arial"/>
        </w:rPr>
        <w:t>C</w:t>
      </w:r>
      <w:r w:rsidR="2649C32F" w:rsidRPr="009D7A02">
        <w:rPr>
          <w:rFonts w:ascii="Inter" w:hAnsi="Inter" w:cs="Arial"/>
        </w:rPr>
        <w:t>onstitution,</w:t>
      </w:r>
      <w:r w:rsidRPr="009D7A02">
        <w:rPr>
          <w:rFonts w:ascii="Inter" w:hAnsi="Inter" w:cs="Arial"/>
        </w:rPr>
        <w:t xml:space="preserve"> the Authority wishes to adopt good practice in </w:t>
      </w:r>
      <w:r w:rsidR="419E013B" w:rsidRPr="009D7A02">
        <w:rPr>
          <w:rFonts w:ascii="Inter" w:hAnsi="Inter" w:cs="Arial"/>
        </w:rPr>
        <w:t xml:space="preserve">terms of </w:t>
      </w:r>
      <w:r w:rsidRPr="009D7A02">
        <w:rPr>
          <w:rFonts w:ascii="Inter" w:hAnsi="Inter" w:cs="Arial"/>
        </w:rPr>
        <w:t xml:space="preserve">consulting </w:t>
      </w:r>
      <w:r w:rsidR="21480010" w:rsidRPr="009D7A02">
        <w:rPr>
          <w:rFonts w:ascii="Inter" w:hAnsi="Inter" w:cs="Arial"/>
        </w:rPr>
        <w:t>on the draft budget proposals.</w:t>
      </w:r>
    </w:p>
    <w:p w14:paraId="5A99A89D" w14:textId="77777777" w:rsidR="00C26AA6" w:rsidRPr="009D7A02" w:rsidRDefault="00C26AA6" w:rsidP="00267B7A">
      <w:pPr>
        <w:spacing w:line="276" w:lineRule="auto"/>
        <w:ind w:left="567" w:hanging="567"/>
        <w:rPr>
          <w:rFonts w:ascii="Inter" w:hAnsi="Inter" w:cs="Arial"/>
          <w:szCs w:val="22"/>
        </w:rPr>
      </w:pPr>
    </w:p>
    <w:p w14:paraId="53E66EDE" w14:textId="675B15C9"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 xml:space="preserve">To underpin its financial sustainability, the Authority is also required to consider the financial forecasts for following years and approve a Medium-Term Financial Plan (MTFP).  This report presents the updated Medium Term Financial Plan covering the period to 2029/30.  </w:t>
      </w:r>
      <w:r w:rsidR="166CFAF9" w:rsidRPr="009D7A02">
        <w:rPr>
          <w:rFonts w:ascii="Inter" w:hAnsi="Inter" w:cs="Arial"/>
        </w:rPr>
        <w:t>Cabinet should note that the MTFS currently assumes that a balanced budget can be set for each of the MTFS financial years.</w:t>
      </w:r>
    </w:p>
    <w:p w14:paraId="4A3820B3" w14:textId="77777777" w:rsidR="00C26AA6" w:rsidRPr="009D7A02" w:rsidRDefault="00C26AA6" w:rsidP="00267B7A">
      <w:pPr>
        <w:spacing w:line="276" w:lineRule="auto"/>
        <w:ind w:left="567" w:hanging="567"/>
        <w:rPr>
          <w:rFonts w:ascii="Inter" w:hAnsi="Inter" w:cs="Arial"/>
        </w:rPr>
      </w:pPr>
    </w:p>
    <w:p w14:paraId="664B5C00" w14:textId="342B51ED" w:rsidR="00C26AA6" w:rsidRPr="00695C68" w:rsidRDefault="00C26AA6" w:rsidP="00AD4EE9">
      <w:pPr>
        <w:pStyle w:val="ListParagraph"/>
        <w:numPr>
          <w:ilvl w:val="0"/>
          <w:numId w:val="10"/>
        </w:numPr>
        <w:spacing w:line="276" w:lineRule="auto"/>
        <w:ind w:left="567" w:hanging="567"/>
        <w:rPr>
          <w:rFonts w:ascii="Inter" w:hAnsi="Inter" w:cs="Arial"/>
        </w:rPr>
      </w:pPr>
      <w:r w:rsidRPr="00695C68">
        <w:rPr>
          <w:rFonts w:ascii="Inter" w:hAnsi="Inter" w:cs="Arial"/>
        </w:rPr>
        <w:t xml:space="preserve">As highlighted in the Reserves section of this report, TVCA is forecast to have usable revenue reserves of </w:t>
      </w:r>
      <w:r w:rsidR="5EDBDB41" w:rsidRPr="00695C68">
        <w:rPr>
          <w:rFonts w:ascii="Inter" w:hAnsi="Inter" w:cs="Arial"/>
        </w:rPr>
        <w:t>£3</w:t>
      </w:r>
      <w:r w:rsidR="00177669" w:rsidRPr="00695C68">
        <w:rPr>
          <w:rFonts w:ascii="Inter" w:hAnsi="Inter" w:cs="Arial"/>
        </w:rPr>
        <w:t>8</w:t>
      </w:r>
      <w:r w:rsidR="00EE739E" w:rsidRPr="00695C68">
        <w:rPr>
          <w:rFonts w:ascii="Inter" w:hAnsi="Inter" w:cs="Arial"/>
        </w:rPr>
        <w:t>.924</w:t>
      </w:r>
      <w:r w:rsidRPr="00695C68">
        <w:rPr>
          <w:rFonts w:ascii="Inter" w:hAnsi="Inter" w:cs="Arial"/>
        </w:rPr>
        <w:t>m at 31 March 2027.  Of these, £</w:t>
      </w:r>
      <w:r w:rsidR="1DDCACA4" w:rsidRPr="00695C68">
        <w:rPr>
          <w:rFonts w:ascii="Inter" w:hAnsi="Inter" w:cs="Arial"/>
        </w:rPr>
        <w:t>1</w:t>
      </w:r>
      <w:r w:rsidR="00EE739E" w:rsidRPr="00695C68">
        <w:rPr>
          <w:rFonts w:ascii="Inter" w:hAnsi="Inter" w:cs="Arial"/>
        </w:rPr>
        <w:t>1</w:t>
      </w:r>
      <w:r w:rsidR="1DDCACA4" w:rsidRPr="00695C68">
        <w:rPr>
          <w:rFonts w:ascii="Inter" w:hAnsi="Inter" w:cs="Arial"/>
        </w:rPr>
        <w:t>.</w:t>
      </w:r>
      <w:r w:rsidR="00F813B1" w:rsidRPr="00695C68">
        <w:rPr>
          <w:rFonts w:ascii="Inter" w:hAnsi="Inter" w:cs="Arial"/>
        </w:rPr>
        <w:t>111</w:t>
      </w:r>
      <w:r w:rsidRPr="00695C68">
        <w:rPr>
          <w:rFonts w:ascii="Inter" w:hAnsi="Inter" w:cs="Arial"/>
        </w:rPr>
        <w:t xml:space="preserve">m is </w:t>
      </w:r>
      <w:r w:rsidR="41279EFA" w:rsidRPr="00695C68">
        <w:rPr>
          <w:rFonts w:ascii="Inter" w:hAnsi="Inter" w:cs="Arial"/>
        </w:rPr>
        <w:t>earmarked</w:t>
      </w:r>
      <w:r w:rsidR="00760406" w:rsidRPr="00695C68">
        <w:rPr>
          <w:rFonts w:ascii="Inter" w:hAnsi="Inter" w:cs="Arial"/>
        </w:rPr>
        <w:t xml:space="preserve"> and </w:t>
      </w:r>
      <w:r w:rsidR="00464691" w:rsidRPr="00695C68">
        <w:rPr>
          <w:rFonts w:ascii="Inter" w:hAnsi="Inter" w:cs="Arial"/>
        </w:rPr>
        <w:t>r</w:t>
      </w:r>
      <w:r w:rsidR="00760406" w:rsidRPr="00695C68">
        <w:rPr>
          <w:rFonts w:ascii="Inter" w:hAnsi="Inter" w:cs="Arial"/>
        </w:rPr>
        <w:t>ingfence</w:t>
      </w:r>
      <w:r w:rsidR="00464691" w:rsidRPr="00695C68">
        <w:rPr>
          <w:rFonts w:ascii="Inter" w:hAnsi="Inter" w:cs="Arial"/>
        </w:rPr>
        <w:t>d</w:t>
      </w:r>
      <w:r w:rsidRPr="00695C68">
        <w:rPr>
          <w:rFonts w:ascii="Inter" w:hAnsi="Inter" w:cs="Arial"/>
        </w:rPr>
        <w:t xml:space="preserve"> for specific purposes, leaving £</w:t>
      </w:r>
      <w:r w:rsidR="2C45F622" w:rsidRPr="00695C68">
        <w:rPr>
          <w:rFonts w:ascii="Inter" w:hAnsi="Inter" w:cs="Arial"/>
        </w:rPr>
        <w:t>2</w:t>
      </w:r>
      <w:r w:rsidR="004B462D" w:rsidRPr="00695C68">
        <w:rPr>
          <w:rFonts w:ascii="Inter" w:hAnsi="Inter" w:cs="Arial"/>
        </w:rPr>
        <w:t>7.823</w:t>
      </w:r>
      <w:r w:rsidRPr="00695C68">
        <w:rPr>
          <w:rFonts w:ascii="Inter" w:hAnsi="Inter" w:cs="Arial"/>
        </w:rPr>
        <w:t xml:space="preserve">m of </w:t>
      </w:r>
      <w:r w:rsidR="2D092326" w:rsidRPr="00695C68">
        <w:rPr>
          <w:rFonts w:ascii="Inter" w:hAnsi="Inter" w:cs="Arial"/>
        </w:rPr>
        <w:t>non</w:t>
      </w:r>
      <w:r w:rsidR="403938E4" w:rsidRPr="00695C68">
        <w:rPr>
          <w:rFonts w:ascii="Inter" w:hAnsi="Inter" w:cs="Arial"/>
        </w:rPr>
        <w:t>-</w:t>
      </w:r>
      <w:r w:rsidR="004B462D" w:rsidRPr="00695C68">
        <w:rPr>
          <w:rFonts w:ascii="Inter" w:hAnsi="Inter" w:cs="Arial"/>
        </w:rPr>
        <w:t>ringfenced</w:t>
      </w:r>
      <w:r w:rsidRPr="00695C68">
        <w:rPr>
          <w:rFonts w:ascii="Inter" w:hAnsi="Inter" w:cs="Arial"/>
        </w:rPr>
        <w:t xml:space="preserve"> reserves available.  In addition, the Authority’s General Fund is currently forecast to remain at £1.058m</w:t>
      </w:r>
      <w:r w:rsidR="6799E437" w:rsidRPr="00695C68">
        <w:rPr>
          <w:rFonts w:ascii="Inter" w:hAnsi="Inter" w:cs="Arial"/>
        </w:rPr>
        <w:t xml:space="preserve"> which is</w:t>
      </w:r>
      <w:r w:rsidRPr="00695C68">
        <w:rPr>
          <w:rFonts w:ascii="Inter" w:hAnsi="Inter" w:cs="Arial"/>
        </w:rPr>
        <w:t xml:space="preserve"> the balance maintained for 2025/26. </w:t>
      </w:r>
    </w:p>
    <w:p w14:paraId="74155832" w14:textId="77777777" w:rsidR="00C26AA6" w:rsidRPr="009D7A02" w:rsidRDefault="00C26AA6" w:rsidP="00267B7A">
      <w:pPr>
        <w:spacing w:line="276" w:lineRule="auto"/>
        <w:ind w:left="567" w:hanging="567"/>
        <w:rPr>
          <w:rFonts w:ascii="Inter" w:hAnsi="Inter" w:cs="Arial"/>
          <w:szCs w:val="22"/>
        </w:rPr>
      </w:pPr>
    </w:p>
    <w:p w14:paraId="71E55B17" w14:textId="2E800EA1"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 xml:space="preserve">It should be noted that the final budget presented to Cabinet </w:t>
      </w:r>
      <w:r w:rsidR="1C00874A" w:rsidRPr="009D7A02">
        <w:rPr>
          <w:rFonts w:ascii="Inter" w:hAnsi="Inter" w:cs="Arial"/>
        </w:rPr>
        <w:t xml:space="preserve">on 20 </w:t>
      </w:r>
      <w:r w:rsidRPr="009D7A02">
        <w:rPr>
          <w:rFonts w:ascii="Inter" w:hAnsi="Inter" w:cs="Arial"/>
        </w:rPr>
        <w:t>March 2026 will be accompanied by a Capital Strategy, Treasury Management Strategy (incorporating an updated Minimum Revenue Provision Policy) and a new Reserves Policy.</w:t>
      </w:r>
    </w:p>
    <w:p w14:paraId="06E474F9" w14:textId="77777777" w:rsidR="00C26AA6" w:rsidRPr="009D7A02" w:rsidRDefault="00C26AA6" w:rsidP="00267B7A">
      <w:pPr>
        <w:spacing w:line="276" w:lineRule="auto"/>
        <w:ind w:left="567" w:hanging="567"/>
        <w:rPr>
          <w:rFonts w:ascii="Inter" w:hAnsi="Inter" w:cs="Arial"/>
          <w:szCs w:val="22"/>
        </w:rPr>
      </w:pPr>
    </w:p>
    <w:p w14:paraId="0568326D" w14:textId="09FE849B"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 xml:space="preserve">This reserves policy will recommend to </w:t>
      </w:r>
      <w:r w:rsidR="49151CF0" w:rsidRPr="009D7A02">
        <w:rPr>
          <w:rFonts w:ascii="Inter" w:hAnsi="Inter" w:cs="Arial"/>
        </w:rPr>
        <w:t>Cabinet</w:t>
      </w:r>
      <w:r w:rsidRPr="009D7A02">
        <w:rPr>
          <w:rFonts w:ascii="Inter" w:hAnsi="Inter" w:cs="Arial"/>
        </w:rPr>
        <w:t xml:space="preserve"> minimum levels of General Fund reserves to be maintained over the Medium-Term Financial Plan to enable the Authority to manage the financial risks it is facing over the MTFP period.</w:t>
      </w:r>
      <w:r w:rsidR="0B1D1037" w:rsidRPr="009D7A02">
        <w:rPr>
          <w:rFonts w:ascii="Inter" w:hAnsi="Inter" w:cs="Arial"/>
        </w:rPr>
        <w:t xml:space="preserve">  The report will also consider how any increase will be funded.</w:t>
      </w:r>
    </w:p>
    <w:p w14:paraId="09633B65" w14:textId="77777777" w:rsidR="00C26AA6" w:rsidRPr="009D7A02" w:rsidRDefault="00C26AA6" w:rsidP="00267B7A">
      <w:pPr>
        <w:spacing w:line="276" w:lineRule="auto"/>
        <w:ind w:left="567" w:hanging="567"/>
        <w:rPr>
          <w:rFonts w:ascii="Inter" w:hAnsi="Inter" w:cs="Arial"/>
          <w:szCs w:val="22"/>
        </w:rPr>
      </w:pPr>
    </w:p>
    <w:p w14:paraId="3EEA4338" w14:textId="564FA2E7"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 xml:space="preserve">This report presents the proposed Capital Budget for 2026/27 and </w:t>
      </w:r>
      <w:r w:rsidR="6A8BF6CF" w:rsidRPr="009D7A02">
        <w:rPr>
          <w:rFonts w:ascii="Inter" w:hAnsi="Inter" w:cs="Arial"/>
        </w:rPr>
        <w:t>latest</w:t>
      </w:r>
      <w:r w:rsidRPr="009D7A02">
        <w:rPr>
          <w:rFonts w:ascii="Inter" w:hAnsi="Inter" w:cs="Arial"/>
        </w:rPr>
        <w:t xml:space="preserve"> Capital Programme to 2029/30.  However, Cabinet should note that the proposals are currently based on the revised capital programme as presented to Cabinet in the Quarter 2 budget monitoring report pending the finalisation of the Capital Strategy.</w:t>
      </w:r>
    </w:p>
    <w:p w14:paraId="3C2197A8" w14:textId="77777777" w:rsidR="00C26AA6" w:rsidRPr="009D7A02" w:rsidRDefault="00C26AA6" w:rsidP="00267B7A">
      <w:pPr>
        <w:spacing w:line="276" w:lineRule="auto"/>
        <w:ind w:left="567" w:hanging="567"/>
        <w:rPr>
          <w:rFonts w:ascii="Inter" w:hAnsi="Inter" w:cs="Arial"/>
          <w:szCs w:val="22"/>
        </w:rPr>
      </w:pPr>
    </w:p>
    <w:p w14:paraId="6FC3D97A" w14:textId="62E9262C"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 xml:space="preserve">The revised capital programme for the MTFP period incorporates capital investment </w:t>
      </w:r>
      <w:r w:rsidR="009D5224">
        <w:rPr>
          <w:rFonts w:ascii="Inter" w:hAnsi="Inter" w:cs="Arial"/>
        </w:rPr>
        <w:t>with</w:t>
      </w:r>
      <w:r w:rsidRPr="009D7A02">
        <w:rPr>
          <w:rFonts w:ascii="Inter" w:hAnsi="Inter" w:cs="Arial"/>
        </w:rPr>
        <w:t xml:space="preserve">in the Investment Plan refresh approved by Cabinet in March 2025.  The TVCA </w:t>
      </w:r>
      <w:r w:rsidR="74C7608E" w:rsidRPr="009D7A02">
        <w:rPr>
          <w:rFonts w:ascii="Inter" w:hAnsi="Inter" w:cs="Arial"/>
        </w:rPr>
        <w:t>C</w:t>
      </w:r>
      <w:r w:rsidRPr="009D7A02">
        <w:rPr>
          <w:rFonts w:ascii="Inter" w:hAnsi="Inter" w:cs="Arial"/>
        </w:rPr>
        <w:t xml:space="preserve">onstitution requires proposals for allocation of resources available to the Combined Authority to be set out in an Investment Plan, to be adopted annually and amended as necessary through unanimous agreement by Cabinet.  This is not a legal requirement. </w:t>
      </w:r>
    </w:p>
    <w:p w14:paraId="477B082B" w14:textId="77777777" w:rsidR="00C26AA6" w:rsidRPr="009D7A02" w:rsidRDefault="00C26AA6" w:rsidP="00267B7A">
      <w:pPr>
        <w:spacing w:line="276" w:lineRule="auto"/>
        <w:ind w:left="567" w:hanging="567"/>
        <w:rPr>
          <w:rFonts w:ascii="Inter" w:hAnsi="Inter" w:cs="Arial"/>
          <w:szCs w:val="22"/>
        </w:rPr>
      </w:pPr>
    </w:p>
    <w:p w14:paraId="55F5345C" w14:textId="578F22FC"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 xml:space="preserve">The Capital Strategy is a legal requirement and sets out the Authority’s strategic approach to capital investment over the MTFP period.  </w:t>
      </w:r>
    </w:p>
    <w:p w14:paraId="3AE685FD" w14:textId="77777777" w:rsidR="00C26AA6" w:rsidRPr="009D7A02" w:rsidRDefault="00C26AA6" w:rsidP="00267B7A">
      <w:pPr>
        <w:spacing w:line="276" w:lineRule="auto"/>
        <w:ind w:left="567" w:hanging="567"/>
        <w:rPr>
          <w:rFonts w:ascii="Inter" w:hAnsi="Inter" w:cs="Arial"/>
          <w:szCs w:val="22"/>
        </w:rPr>
      </w:pPr>
    </w:p>
    <w:p w14:paraId="38AF0936" w14:textId="78BEDA92" w:rsidR="00C26AA6" w:rsidRPr="003F3B4E" w:rsidRDefault="00C26AA6" w:rsidP="00AD4EE9">
      <w:pPr>
        <w:pStyle w:val="ListParagraph"/>
        <w:numPr>
          <w:ilvl w:val="0"/>
          <w:numId w:val="10"/>
        </w:numPr>
        <w:spacing w:line="276" w:lineRule="auto"/>
        <w:ind w:left="567" w:hanging="567"/>
        <w:rPr>
          <w:rFonts w:ascii="Inter" w:hAnsi="Inter" w:cs="Arial"/>
        </w:rPr>
      </w:pPr>
      <w:r w:rsidRPr="003F3B4E">
        <w:rPr>
          <w:rFonts w:ascii="Inter" w:hAnsi="Inter" w:cs="Arial"/>
        </w:rPr>
        <w:t>The forecast capital reserves at 31 March 2027 are forecast to be £75.262m and represent Capital Grants received to</w:t>
      </w:r>
      <w:r w:rsidR="00497065" w:rsidRPr="003F3B4E">
        <w:rPr>
          <w:rFonts w:ascii="Inter" w:hAnsi="Inter" w:cs="Arial"/>
        </w:rPr>
        <w:t>-</w:t>
      </w:r>
      <w:r w:rsidRPr="003F3B4E">
        <w:rPr>
          <w:rFonts w:ascii="Inter" w:hAnsi="Inter" w:cs="Arial"/>
        </w:rPr>
        <w:t>date</w:t>
      </w:r>
      <w:r w:rsidR="18B84FB6" w:rsidRPr="003F3B4E">
        <w:rPr>
          <w:rFonts w:ascii="Inter" w:hAnsi="Inter" w:cs="Arial"/>
        </w:rPr>
        <w:t>,</w:t>
      </w:r>
      <w:r w:rsidRPr="003F3B4E">
        <w:rPr>
          <w:rFonts w:ascii="Inter" w:hAnsi="Inter" w:cs="Arial"/>
        </w:rPr>
        <w:t xml:space="preserve"> ringfenced for capital purposes</w:t>
      </w:r>
      <w:r w:rsidR="7275229D" w:rsidRPr="003F3B4E">
        <w:rPr>
          <w:rFonts w:ascii="Inter" w:hAnsi="Inter" w:cs="Arial"/>
        </w:rPr>
        <w:t>.</w:t>
      </w:r>
    </w:p>
    <w:p w14:paraId="2E012F57" w14:textId="77777777" w:rsidR="00C26AA6" w:rsidRPr="009D7A02" w:rsidRDefault="00C26AA6" w:rsidP="00267B7A">
      <w:pPr>
        <w:spacing w:line="276" w:lineRule="auto"/>
        <w:ind w:left="567" w:hanging="567"/>
        <w:rPr>
          <w:rFonts w:ascii="Inter" w:hAnsi="Inter" w:cs="Arial"/>
          <w:szCs w:val="22"/>
        </w:rPr>
      </w:pPr>
    </w:p>
    <w:p w14:paraId="5826641F" w14:textId="3DC9D6BF" w:rsidR="00C26AA6" w:rsidRPr="009D7A02" w:rsidRDefault="7275229D" w:rsidP="00AD4EE9">
      <w:pPr>
        <w:pStyle w:val="ListParagraph"/>
        <w:numPr>
          <w:ilvl w:val="0"/>
          <w:numId w:val="10"/>
        </w:numPr>
        <w:spacing w:line="276" w:lineRule="auto"/>
        <w:ind w:left="567" w:hanging="567"/>
        <w:rPr>
          <w:rFonts w:ascii="Inter" w:hAnsi="Inter" w:cs="Arial"/>
        </w:rPr>
      </w:pPr>
      <w:r w:rsidRPr="009D7A02">
        <w:rPr>
          <w:rFonts w:ascii="Inter" w:hAnsi="Inter" w:cs="Arial"/>
        </w:rPr>
        <w:t>Based on the latest capital programme</w:t>
      </w:r>
      <w:r w:rsidR="00C26AA6" w:rsidRPr="009D7A02">
        <w:rPr>
          <w:rFonts w:ascii="Inter" w:hAnsi="Inter" w:cs="Arial"/>
        </w:rPr>
        <w:t xml:space="preserve">, the Authority’s capital financing requirement </w:t>
      </w:r>
      <w:r w:rsidR="6C4E17DA" w:rsidRPr="009D7A02">
        <w:rPr>
          <w:rFonts w:ascii="Inter" w:hAnsi="Inter" w:cs="Arial"/>
        </w:rPr>
        <w:t>(CFR)</w:t>
      </w:r>
      <w:r w:rsidR="00C26AA6" w:rsidRPr="009D7A02">
        <w:rPr>
          <w:rFonts w:ascii="Inter" w:hAnsi="Inter" w:cs="Arial"/>
        </w:rPr>
        <w:t xml:space="preserve"> </w:t>
      </w:r>
      <w:r w:rsidR="3290A93B" w:rsidRPr="009D7A02">
        <w:rPr>
          <w:rFonts w:ascii="Inter" w:hAnsi="Inter" w:cs="Arial"/>
        </w:rPr>
        <w:t xml:space="preserve">- underlying need to borrow - </w:t>
      </w:r>
      <w:r w:rsidR="00C26AA6" w:rsidRPr="009D7A02">
        <w:rPr>
          <w:rFonts w:ascii="Inter" w:hAnsi="Inter" w:cs="Arial"/>
        </w:rPr>
        <w:t xml:space="preserve">is forecast to </w:t>
      </w:r>
      <w:r w:rsidR="00C26AA6" w:rsidRPr="00281A57">
        <w:rPr>
          <w:rFonts w:ascii="Inter" w:hAnsi="Inter" w:cs="Arial"/>
        </w:rPr>
        <w:t>be £616.357m</w:t>
      </w:r>
      <w:r w:rsidR="00C26AA6" w:rsidRPr="009D7A02">
        <w:rPr>
          <w:rFonts w:ascii="Inter" w:hAnsi="Inter" w:cs="Arial"/>
        </w:rPr>
        <w:t xml:space="preserve"> at the end of March 2027 which is a </w:t>
      </w:r>
      <w:r w:rsidR="00C26AA6" w:rsidRPr="00B915A1">
        <w:rPr>
          <w:rFonts w:ascii="Inter" w:hAnsi="Inter" w:cs="Arial"/>
        </w:rPr>
        <w:t>decrease of (£4.25</w:t>
      </w:r>
      <w:r w:rsidR="00B915A1" w:rsidRPr="00B915A1">
        <w:rPr>
          <w:rFonts w:ascii="Inter" w:hAnsi="Inter" w:cs="Arial"/>
        </w:rPr>
        <w:t>9</w:t>
      </w:r>
      <w:r w:rsidR="00C26AA6" w:rsidRPr="00B915A1">
        <w:rPr>
          <w:rFonts w:ascii="Inter" w:hAnsi="Inter" w:cs="Arial"/>
        </w:rPr>
        <w:t xml:space="preserve">m) from the forecast closing position at 31 March 2026.  </w:t>
      </w:r>
      <w:r w:rsidR="7D6CF18D" w:rsidRPr="00B915A1">
        <w:rPr>
          <w:rFonts w:ascii="Inter" w:hAnsi="Inter" w:cs="Arial"/>
        </w:rPr>
        <w:t>This decrease is due to the application of</w:t>
      </w:r>
      <w:r w:rsidR="7D6CF18D" w:rsidRPr="009D7A02">
        <w:rPr>
          <w:rFonts w:ascii="Inter" w:hAnsi="Inter" w:cs="Arial"/>
        </w:rPr>
        <w:t xml:space="preserve"> the Minimum Revenue Provision (MRP) provided for in the revenue budget which reduces the CFR.   </w:t>
      </w:r>
      <w:r w:rsidR="5470E92A" w:rsidRPr="009D7A02">
        <w:rPr>
          <w:rFonts w:ascii="Inter" w:hAnsi="Inter" w:cs="Arial"/>
        </w:rPr>
        <w:t>Currently, there is no further requirement for additional borrowing by TVCA to fund the latest capital programme and, therefore, the CFR will continue to reduce.</w:t>
      </w:r>
    </w:p>
    <w:p w14:paraId="146BF26A" w14:textId="2F7075D1" w:rsidR="74642279" w:rsidRPr="009D7A02" w:rsidRDefault="74642279" w:rsidP="74642279">
      <w:pPr>
        <w:pStyle w:val="ListParagraph"/>
        <w:spacing w:line="276" w:lineRule="auto"/>
        <w:ind w:left="567" w:hanging="567"/>
        <w:rPr>
          <w:rFonts w:ascii="Inter" w:hAnsi="Inter" w:cs="Arial"/>
        </w:rPr>
      </w:pPr>
    </w:p>
    <w:p w14:paraId="53DBF0C5" w14:textId="77777777"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 xml:space="preserve">Against this underlying </w:t>
      </w:r>
      <w:r w:rsidRPr="00777353">
        <w:rPr>
          <w:rFonts w:ascii="Inter" w:hAnsi="Inter" w:cs="Arial"/>
        </w:rPr>
        <w:t>need to borrow, the Authority’s opening externally borrowed position is forecast to be £529.177m, rising to £554.764m at 31</w:t>
      </w:r>
      <w:r w:rsidRPr="009D7A02">
        <w:rPr>
          <w:rFonts w:ascii="Inter" w:hAnsi="Inter" w:cs="Arial"/>
        </w:rPr>
        <w:t xml:space="preserve"> March 2027.</w:t>
      </w:r>
    </w:p>
    <w:p w14:paraId="37B0AAE8" w14:textId="77777777" w:rsidR="00C26AA6" w:rsidRPr="009D7A02" w:rsidRDefault="00C26AA6" w:rsidP="16FD5590">
      <w:pPr>
        <w:spacing w:line="276" w:lineRule="auto"/>
        <w:ind w:left="567" w:hanging="567"/>
        <w:rPr>
          <w:rFonts w:ascii="Inter" w:hAnsi="Inter" w:cs="Arial"/>
        </w:rPr>
      </w:pPr>
    </w:p>
    <w:p w14:paraId="0F994AFE" w14:textId="2108C22A" w:rsidR="00C26AA6" w:rsidRPr="009D7A02" w:rsidRDefault="00C26AA6" w:rsidP="00AD4EE9">
      <w:pPr>
        <w:pStyle w:val="ListParagraph"/>
        <w:numPr>
          <w:ilvl w:val="0"/>
          <w:numId w:val="10"/>
        </w:numPr>
        <w:spacing w:line="276" w:lineRule="auto"/>
        <w:ind w:left="567" w:hanging="567"/>
        <w:rPr>
          <w:rFonts w:ascii="Inter" w:hAnsi="Inter" w:cs="Arial"/>
        </w:rPr>
      </w:pPr>
      <w:r w:rsidRPr="2DFE4DF5">
        <w:rPr>
          <w:rFonts w:ascii="Inter" w:hAnsi="Inter" w:cs="Arial"/>
        </w:rPr>
        <w:t>This gives rise to £22.63</w:t>
      </w:r>
      <w:r w:rsidR="4B254CE9" w:rsidRPr="2DFE4DF5">
        <w:rPr>
          <w:rFonts w:ascii="Inter" w:hAnsi="Inter" w:cs="Arial"/>
        </w:rPr>
        <w:t>0</w:t>
      </w:r>
      <w:r w:rsidRPr="2DFE4DF5">
        <w:rPr>
          <w:rFonts w:ascii="Inter" w:hAnsi="Inter" w:cs="Arial"/>
        </w:rPr>
        <w:t>m of interest payable for 2026/27 based on an average interest rate of 4.16% and £7.888m of Minimum Revenue Provision (based on the current policy which may be updated for the final budget in March).  This represents an increase in MRP of £0.910m from the 2025/26 position.</w:t>
      </w:r>
    </w:p>
    <w:p w14:paraId="06DEBB68" w14:textId="77777777" w:rsidR="00C26AA6" w:rsidRPr="009D7A02" w:rsidRDefault="00C26AA6" w:rsidP="00267B7A">
      <w:pPr>
        <w:spacing w:line="276" w:lineRule="auto"/>
        <w:ind w:left="567" w:hanging="567"/>
        <w:rPr>
          <w:rFonts w:ascii="Inter" w:hAnsi="Inter" w:cs="Arial"/>
        </w:rPr>
      </w:pPr>
    </w:p>
    <w:p w14:paraId="29C8430C" w14:textId="5F8B419D" w:rsidR="00C26AA6" w:rsidRPr="003528FE" w:rsidRDefault="00C26AA6" w:rsidP="00AD4EE9">
      <w:pPr>
        <w:pStyle w:val="ListParagraph"/>
        <w:numPr>
          <w:ilvl w:val="0"/>
          <w:numId w:val="10"/>
        </w:numPr>
        <w:spacing w:line="276" w:lineRule="auto"/>
        <w:ind w:left="567" w:hanging="567"/>
        <w:rPr>
          <w:rFonts w:ascii="Inter" w:hAnsi="Inter" w:cs="Arial"/>
        </w:rPr>
      </w:pPr>
      <w:r w:rsidRPr="2DFE4DF5">
        <w:rPr>
          <w:rFonts w:ascii="Inter" w:hAnsi="Inter" w:cs="Arial"/>
        </w:rPr>
        <w:t>TVCA was previously successful in securing a substantial loan (£111m) from the UK</w:t>
      </w:r>
      <w:r w:rsidR="00C81060">
        <w:rPr>
          <w:rFonts w:ascii="Inter" w:hAnsi="Inter" w:cs="Arial"/>
        </w:rPr>
        <w:t xml:space="preserve"> </w:t>
      </w:r>
      <w:r w:rsidRPr="2DFE4DF5">
        <w:rPr>
          <w:rFonts w:ascii="Inter" w:hAnsi="Inter" w:cs="Arial"/>
        </w:rPr>
        <w:t>I</w:t>
      </w:r>
      <w:r w:rsidR="00C81060">
        <w:rPr>
          <w:rFonts w:ascii="Inter" w:hAnsi="Inter" w:cs="Arial"/>
        </w:rPr>
        <w:t xml:space="preserve">nfrastructure </w:t>
      </w:r>
      <w:r w:rsidRPr="2DFE4DF5">
        <w:rPr>
          <w:rFonts w:ascii="Inter" w:hAnsi="Inter" w:cs="Arial"/>
        </w:rPr>
        <w:t>B</w:t>
      </w:r>
      <w:r w:rsidR="00C81060">
        <w:rPr>
          <w:rFonts w:ascii="Inter" w:hAnsi="Inter" w:cs="Arial"/>
        </w:rPr>
        <w:t>ank (UKIB)</w:t>
      </w:r>
      <w:r w:rsidRPr="2DFE4DF5">
        <w:rPr>
          <w:rFonts w:ascii="Inter" w:hAnsi="Inter" w:cs="Arial"/>
        </w:rPr>
        <w:t xml:space="preserve"> at a very competitive rate of 1.99%. This represented a competitive interest rate during a period when interest rates were at a low level. Since securing this UKIB loan</w:t>
      </w:r>
      <w:r w:rsidR="00F15F25">
        <w:rPr>
          <w:rFonts w:ascii="Inter" w:hAnsi="Inter" w:cs="Arial"/>
        </w:rPr>
        <w:t>,</w:t>
      </w:r>
      <w:r w:rsidRPr="2DFE4DF5">
        <w:rPr>
          <w:rFonts w:ascii="Inter" w:hAnsi="Inter" w:cs="Arial"/>
        </w:rPr>
        <w:t xml:space="preserve"> interest rates have risen significantly and the rate</w:t>
      </w:r>
      <w:r w:rsidR="0B9D21EC" w:rsidRPr="2DFE4DF5">
        <w:rPr>
          <w:rFonts w:ascii="Inter" w:hAnsi="Inter" w:cs="Arial"/>
        </w:rPr>
        <w:t>s</w:t>
      </w:r>
      <w:r w:rsidRPr="2DFE4DF5">
        <w:rPr>
          <w:rFonts w:ascii="Inter" w:hAnsi="Inter" w:cs="Arial"/>
        </w:rPr>
        <w:t xml:space="preserve"> available in the current market are significantly higher and future borrowing rates are forecast to be above the previously note</w:t>
      </w:r>
      <w:r w:rsidR="0097674B" w:rsidRPr="2DFE4DF5">
        <w:rPr>
          <w:rFonts w:ascii="Inter" w:hAnsi="Inter" w:cs="Arial"/>
        </w:rPr>
        <w:t>d</w:t>
      </w:r>
      <w:r w:rsidRPr="2DFE4DF5">
        <w:rPr>
          <w:rFonts w:ascii="Inter" w:hAnsi="Inter" w:cs="Arial"/>
        </w:rPr>
        <w:t xml:space="preserve"> average interest rate of 4.16%.</w:t>
      </w:r>
    </w:p>
    <w:p w14:paraId="02C0FB08" w14:textId="77777777" w:rsidR="00C26AA6" w:rsidRPr="009D7A02" w:rsidRDefault="00C26AA6" w:rsidP="00267B7A">
      <w:pPr>
        <w:spacing w:line="276" w:lineRule="auto"/>
        <w:ind w:left="567" w:hanging="567"/>
        <w:rPr>
          <w:rFonts w:ascii="Inter" w:hAnsi="Inter" w:cs="Arial"/>
          <w:szCs w:val="22"/>
        </w:rPr>
      </w:pPr>
    </w:p>
    <w:p w14:paraId="406B02F3" w14:textId="558FF7FC" w:rsidR="00C26AA6" w:rsidRPr="00E70A52" w:rsidRDefault="00C26AA6" w:rsidP="00AD4EE9">
      <w:pPr>
        <w:pStyle w:val="ListParagraph"/>
        <w:numPr>
          <w:ilvl w:val="0"/>
          <w:numId w:val="10"/>
        </w:numPr>
        <w:spacing w:line="276" w:lineRule="auto"/>
        <w:ind w:left="567" w:hanging="567"/>
        <w:rPr>
          <w:rFonts w:ascii="Inter" w:hAnsi="Inter" w:cs="Arial"/>
        </w:rPr>
      </w:pPr>
      <w:r w:rsidRPr="00E70A52">
        <w:rPr>
          <w:rFonts w:ascii="Inter" w:hAnsi="Inter" w:cs="Arial"/>
        </w:rPr>
        <w:t>Of the total CFR of £616.357m, £549.015m relates to borrowing undertaken by the Authority to on-lend to third parties.  At 1 April 2026 £541.015m will have been advanced to third parties and this is forecast to increase to £549.015m by 31 March 2027.</w:t>
      </w:r>
    </w:p>
    <w:p w14:paraId="645D0217" w14:textId="77777777" w:rsidR="00C26AA6" w:rsidRPr="009D7A02" w:rsidRDefault="00C26AA6" w:rsidP="16FD5590">
      <w:pPr>
        <w:spacing w:line="276" w:lineRule="auto"/>
        <w:ind w:left="567" w:hanging="567"/>
        <w:rPr>
          <w:rFonts w:ascii="Inter" w:hAnsi="Inter" w:cs="Arial"/>
        </w:rPr>
      </w:pPr>
    </w:p>
    <w:p w14:paraId="5F2606B8" w14:textId="38F18F49" w:rsidR="00C26AA6" w:rsidRPr="009D7A02" w:rsidRDefault="00C26AA6" w:rsidP="00AD4EE9">
      <w:pPr>
        <w:pStyle w:val="ListParagraph"/>
        <w:numPr>
          <w:ilvl w:val="0"/>
          <w:numId w:val="10"/>
        </w:numPr>
        <w:spacing w:line="276" w:lineRule="auto"/>
        <w:ind w:left="567" w:hanging="567"/>
        <w:rPr>
          <w:rFonts w:ascii="Inter" w:hAnsi="Inter" w:cs="Arial"/>
        </w:rPr>
      </w:pPr>
      <w:r w:rsidRPr="7DC21327">
        <w:rPr>
          <w:rFonts w:ascii="Inter" w:hAnsi="Inter" w:cs="Arial"/>
        </w:rPr>
        <w:t>The draft revenue budget proposals for 2026/27 include £20.678m of interest receivable from third parties for loans advanced.  This has increased by £</w:t>
      </w:r>
      <w:r w:rsidR="00080A12" w:rsidRPr="7DC21327">
        <w:rPr>
          <w:rFonts w:ascii="Inter" w:hAnsi="Inter" w:cs="Arial"/>
        </w:rPr>
        <w:t>8</w:t>
      </w:r>
      <w:r w:rsidR="20AD718A" w:rsidRPr="7DC21327">
        <w:rPr>
          <w:rFonts w:ascii="Inter" w:hAnsi="Inter" w:cs="Arial"/>
        </w:rPr>
        <w:t>.</w:t>
      </w:r>
      <w:r w:rsidR="00080A12" w:rsidRPr="7DC21327">
        <w:rPr>
          <w:rFonts w:ascii="Inter" w:hAnsi="Inter" w:cs="Arial"/>
        </w:rPr>
        <w:t>615</w:t>
      </w:r>
      <w:r w:rsidR="00F33355" w:rsidRPr="7DC21327">
        <w:rPr>
          <w:rFonts w:ascii="Inter" w:hAnsi="Inter" w:cs="Arial"/>
        </w:rPr>
        <w:t>m</w:t>
      </w:r>
      <w:r w:rsidR="00256124" w:rsidRPr="7DC21327">
        <w:rPr>
          <w:rFonts w:ascii="Inter" w:hAnsi="Inter" w:cs="Arial"/>
        </w:rPr>
        <w:t>.</w:t>
      </w:r>
      <w:r w:rsidRPr="7DC21327">
        <w:rPr>
          <w:rFonts w:ascii="Inter" w:hAnsi="Inter" w:cs="Arial"/>
        </w:rPr>
        <w:t xml:space="preserve"> from the 2025/26 position due to the unwinding of the one-year interest policy applied in on-lending to the S</w:t>
      </w:r>
      <w:r w:rsidR="76584611" w:rsidRPr="7DC21327">
        <w:rPr>
          <w:rFonts w:ascii="Inter" w:hAnsi="Inter" w:cs="Arial"/>
        </w:rPr>
        <w:t xml:space="preserve">outh </w:t>
      </w:r>
      <w:r w:rsidRPr="7DC21327">
        <w:rPr>
          <w:rFonts w:ascii="Inter" w:hAnsi="Inter" w:cs="Arial"/>
        </w:rPr>
        <w:t>T</w:t>
      </w:r>
      <w:r w:rsidR="7274363A" w:rsidRPr="7DC21327">
        <w:rPr>
          <w:rFonts w:ascii="Inter" w:hAnsi="Inter" w:cs="Arial"/>
        </w:rPr>
        <w:t xml:space="preserve">ees </w:t>
      </w:r>
      <w:r w:rsidRPr="7DC21327">
        <w:rPr>
          <w:rFonts w:ascii="Inter" w:hAnsi="Inter" w:cs="Arial"/>
        </w:rPr>
        <w:t>Development Corporation</w:t>
      </w:r>
      <w:r w:rsidR="2DB94EE3" w:rsidRPr="7DC21327">
        <w:rPr>
          <w:rFonts w:ascii="Inter" w:hAnsi="Inter" w:cs="Arial"/>
        </w:rPr>
        <w:t xml:space="preserve"> (STDC)</w:t>
      </w:r>
      <w:r w:rsidRPr="7DC21327">
        <w:rPr>
          <w:rFonts w:ascii="Inter" w:hAnsi="Inter" w:cs="Arial"/>
        </w:rPr>
        <w:t>.  In the draft revenue budget proposed, it is assumed that interest due from STDC of £14.251m will be incorporated into the STDC revenue budget as interest payable.</w:t>
      </w:r>
    </w:p>
    <w:p w14:paraId="50DC9CEE" w14:textId="77777777" w:rsidR="00C26AA6" w:rsidRPr="009D7A02" w:rsidRDefault="00C26AA6" w:rsidP="00267B7A">
      <w:pPr>
        <w:spacing w:line="276" w:lineRule="auto"/>
        <w:ind w:left="567" w:hanging="567"/>
        <w:rPr>
          <w:rFonts w:ascii="Inter" w:hAnsi="Inter" w:cs="Arial"/>
          <w:szCs w:val="22"/>
        </w:rPr>
      </w:pPr>
    </w:p>
    <w:p w14:paraId="3A7D395E" w14:textId="66D9FC8E" w:rsidR="00C26AA6" w:rsidRPr="009D7A02" w:rsidRDefault="00C26AA6" w:rsidP="00AD4EE9">
      <w:pPr>
        <w:pStyle w:val="ListParagraph"/>
        <w:numPr>
          <w:ilvl w:val="0"/>
          <w:numId w:val="10"/>
        </w:numPr>
        <w:spacing w:line="276" w:lineRule="auto"/>
        <w:ind w:left="567" w:hanging="567"/>
        <w:rPr>
          <w:rFonts w:ascii="Inter" w:hAnsi="Inter" w:cs="Arial"/>
          <w:szCs w:val="22"/>
        </w:rPr>
      </w:pPr>
      <w:r w:rsidRPr="009D7A02">
        <w:rPr>
          <w:rFonts w:ascii="Inter" w:hAnsi="Inter" w:cs="Arial"/>
          <w:szCs w:val="22"/>
        </w:rPr>
        <w:t>The interest receivable budget now includes interest receivable from the loans made to T</w:t>
      </w:r>
      <w:r w:rsidR="00317A0A">
        <w:rPr>
          <w:rFonts w:ascii="Inter" w:hAnsi="Inter" w:cs="Arial"/>
          <w:szCs w:val="22"/>
        </w:rPr>
        <w:t xml:space="preserve">eesside </w:t>
      </w:r>
      <w:r w:rsidRPr="009D7A02">
        <w:rPr>
          <w:rFonts w:ascii="Inter" w:hAnsi="Inter" w:cs="Arial"/>
          <w:szCs w:val="22"/>
        </w:rPr>
        <w:t>I</w:t>
      </w:r>
      <w:r w:rsidR="00317A0A">
        <w:rPr>
          <w:rFonts w:ascii="Inter" w:hAnsi="Inter" w:cs="Arial"/>
          <w:szCs w:val="22"/>
        </w:rPr>
        <w:t xml:space="preserve">nternational </w:t>
      </w:r>
      <w:r w:rsidRPr="009D7A02">
        <w:rPr>
          <w:rFonts w:ascii="Inter" w:hAnsi="Inter" w:cs="Arial"/>
          <w:szCs w:val="22"/>
        </w:rPr>
        <w:t>A</w:t>
      </w:r>
      <w:r w:rsidR="00317A0A">
        <w:rPr>
          <w:rFonts w:ascii="Inter" w:hAnsi="Inter" w:cs="Arial"/>
          <w:szCs w:val="22"/>
        </w:rPr>
        <w:t xml:space="preserve">irport </w:t>
      </w:r>
      <w:r w:rsidRPr="009D7A02">
        <w:rPr>
          <w:rFonts w:ascii="Inter" w:hAnsi="Inter" w:cs="Arial"/>
          <w:szCs w:val="22"/>
        </w:rPr>
        <w:t>L</w:t>
      </w:r>
      <w:r w:rsidR="00317A0A">
        <w:rPr>
          <w:rFonts w:ascii="Inter" w:hAnsi="Inter" w:cs="Arial"/>
          <w:szCs w:val="22"/>
        </w:rPr>
        <w:t>imited (TIAL)</w:t>
      </w:r>
      <w:r w:rsidRPr="009D7A02">
        <w:rPr>
          <w:rFonts w:ascii="Inter" w:hAnsi="Inter" w:cs="Arial"/>
          <w:szCs w:val="22"/>
        </w:rPr>
        <w:t xml:space="preserve"> which had not been included in previous </w:t>
      </w:r>
      <w:r w:rsidRPr="009D7A02">
        <w:rPr>
          <w:rFonts w:ascii="Inter" w:hAnsi="Inter" w:cs="Arial"/>
          <w:szCs w:val="22"/>
        </w:rPr>
        <w:lastRenderedPageBreak/>
        <w:t>budget proposals.  However, a corresponding bad debt provision expenditure budget has been included to offset the same amount of interest receivable income due from TIAL.  This is to ensure that the Authority is adopting a prudent approach to its budget setting.</w:t>
      </w:r>
    </w:p>
    <w:p w14:paraId="710E9BFE" w14:textId="77777777" w:rsidR="00C26AA6" w:rsidRPr="009D7A02" w:rsidRDefault="00C26AA6" w:rsidP="00267B7A">
      <w:pPr>
        <w:spacing w:line="276" w:lineRule="auto"/>
        <w:ind w:left="567" w:hanging="567"/>
        <w:rPr>
          <w:rFonts w:ascii="Inter" w:hAnsi="Inter" w:cs="Arial"/>
          <w:szCs w:val="22"/>
        </w:rPr>
      </w:pPr>
    </w:p>
    <w:p w14:paraId="58835F1A" w14:textId="77777777" w:rsidR="00C26AA6" w:rsidRPr="009D7A02" w:rsidRDefault="00C26AA6" w:rsidP="00AD4EE9">
      <w:pPr>
        <w:pStyle w:val="ListParagraph"/>
        <w:numPr>
          <w:ilvl w:val="0"/>
          <w:numId w:val="10"/>
        </w:numPr>
        <w:spacing w:line="276" w:lineRule="auto"/>
        <w:ind w:left="567" w:hanging="567"/>
        <w:rPr>
          <w:rFonts w:ascii="Inter" w:hAnsi="Inter" w:cs="Arial"/>
          <w:szCs w:val="22"/>
        </w:rPr>
      </w:pPr>
      <w:r w:rsidRPr="009D7A02">
        <w:rPr>
          <w:rFonts w:ascii="Inter" w:hAnsi="Inter" w:cs="Arial"/>
          <w:szCs w:val="22"/>
        </w:rPr>
        <w:t>This report also presents to Cabinet the key assumptions underpinning the budget proposals including any estimates for inflation, pay awards and any other known increases or decreases in expenditure or income.</w:t>
      </w:r>
    </w:p>
    <w:p w14:paraId="42E43DCA" w14:textId="77777777" w:rsidR="00C26AA6" w:rsidRPr="009D7A02" w:rsidRDefault="00C26AA6" w:rsidP="00267B7A">
      <w:pPr>
        <w:spacing w:line="276" w:lineRule="auto"/>
        <w:ind w:left="567" w:hanging="567"/>
        <w:rPr>
          <w:rFonts w:ascii="Inter" w:hAnsi="Inter" w:cs="Arial"/>
          <w:szCs w:val="22"/>
        </w:rPr>
      </w:pPr>
    </w:p>
    <w:p w14:paraId="492343F3" w14:textId="369183A2"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The draft budget proposals assume that the £15m Devolution Funding and</w:t>
      </w:r>
      <w:r w:rsidR="28C45799" w:rsidRPr="009D7A02">
        <w:rPr>
          <w:rFonts w:ascii="Inter" w:hAnsi="Inter" w:cs="Arial"/>
        </w:rPr>
        <w:t xml:space="preserve"> the Mayoral Capacity Funding will </w:t>
      </w:r>
      <w:r w:rsidR="5B37FC54" w:rsidRPr="009D7A02">
        <w:rPr>
          <w:rFonts w:ascii="Inter" w:hAnsi="Inter" w:cs="Arial"/>
        </w:rPr>
        <w:t xml:space="preserve">remain at £1.5m </w:t>
      </w:r>
      <w:r w:rsidR="23AA668C" w:rsidRPr="009D7A02">
        <w:rPr>
          <w:rFonts w:ascii="Inter" w:hAnsi="Inter" w:cs="Arial"/>
        </w:rPr>
        <w:t xml:space="preserve">as </w:t>
      </w:r>
      <w:r w:rsidR="29D57BE6" w:rsidRPr="009D7A02">
        <w:rPr>
          <w:rFonts w:ascii="Inter" w:hAnsi="Inter" w:cs="Arial"/>
        </w:rPr>
        <w:t>announced in the Provisional Local Government Settlement on 19 December 2025.</w:t>
      </w:r>
    </w:p>
    <w:p w14:paraId="68F2ABC0" w14:textId="77777777" w:rsidR="00C26AA6" w:rsidRPr="009D7A02" w:rsidRDefault="00C26AA6" w:rsidP="00267B7A">
      <w:pPr>
        <w:spacing w:line="276" w:lineRule="auto"/>
        <w:ind w:left="567" w:hanging="567"/>
        <w:rPr>
          <w:rFonts w:ascii="Inter" w:hAnsi="Inter" w:cs="Arial"/>
          <w:szCs w:val="22"/>
        </w:rPr>
      </w:pPr>
    </w:p>
    <w:p w14:paraId="1C248BD1" w14:textId="66728DBB" w:rsidR="00C26AA6" w:rsidRPr="009D7A02" w:rsidRDefault="00C26AA6" w:rsidP="00AD4EE9">
      <w:pPr>
        <w:pStyle w:val="ListParagraph"/>
        <w:numPr>
          <w:ilvl w:val="0"/>
          <w:numId w:val="10"/>
        </w:numPr>
        <w:spacing w:line="276" w:lineRule="auto"/>
        <w:ind w:left="567" w:hanging="567"/>
        <w:rPr>
          <w:rFonts w:ascii="Inter" w:hAnsi="Inter" w:cs="Arial"/>
        </w:rPr>
      </w:pPr>
      <w:r w:rsidRPr="009D7A02">
        <w:rPr>
          <w:rFonts w:ascii="Inter" w:hAnsi="Inter" w:cs="Arial"/>
        </w:rPr>
        <w:t xml:space="preserve">Cabinet is also presented with the key financial risks that the Authority is facing over the medium term.  A key consideration is </w:t>
      </w:r>
      <w:r w:rsidR="0A84D8F2" w:rsidRPr="009D7A02">
        <w:rPr>
          <w:rFonts w:ascii="Inter" w:hAnsi="Inter" w:cs="Arial"/>
        </w:rPr>
        <w:t xml:space="preserve">the principle of </w:t>
      </w:r>
      <w:r w:rsidRPr="009D7A02">
        <w:rPr>
          <w:rFonts w:ascii="Inter" w:hAnsi="Inter" w:cs="Arial"/>
        </w:rPr>
        <w:t>whether the Authority is required to provide financial support to the Mayoral Development Corporations</w:t>
      </w:r>
      <w:r w:rsidR="6C265463" w:rsidRPr="009D7A02">
        <w:rPr>
          <w:rFonts w:ascii="Inter" w:hAnsi="Inter" w:cs="Arial"/>
        </w:rPr>
        <w:t>, should the need arise</w:t>
      </w:r>
      <w:r w:rsidRPr="009D7A02">
        <w:rPr>
          <w:rFonts w:ascii="Inter" w:hAnsi="Inter" w:cs="Arial"/>
        </w:rPr>
        <w:t>, given that they receive no separate central government or third-party funding.  This matter</w:t>
      </w:r>
      <w:r w:rsidR="361950F6" w:rsidRPr="009D7A02">
        <w:rPr>
          <w:rFonts w:ascii="Inter" w:hAnsi="Inter" w:cs="Arial"/>
        </w:rPr>
        <w:t xml:space="preserve"> has been</w:t>
      </w:r>
      <w:r w:rsidRPr="009D7A02">
        <w:rPr>
          <w:rFonts w:ascii="Inter" w:hAnsi="Inter" w:cs="Arial"/>
        </w:rPr>
        <w:t xml:space="preserve"> considered by the Authority’s Monitoring Officer in consultation with MHC</w:t>
      </w:r>
      <w:r w:rsidR="00B82482">
        <w:rPr>
          <w:rFonts w:ascii="Inter" w:hAnsi="Inter" w:cs="Arial"/>
        </w:rPr>
        <w:t>L</w:t>
      </w:r>
      <w:r w:rsidRPr="009D7A02">
        <w:rPr>
          <w:rFonts w:ascii="Inter" w:hAnsi="Inter" w:cs="Arial"/>
        </w:rPr>
        <w:t>G</w:t>
      </w:r>
      <w:r w:rsidR="1833F9CB" w:rsidRPr="009D7A02">
        <w:rPr>
          <w:rFonts w:ascii="Inter" w:hAnsi="Inter" w:cs="Arial"/>
        </w:rPr>
        <w:t xml:space="preserve"> and external legal advice</w:t>
      </w:r>
      <w:r w:rsidR="35CF05EC" w:rsidRPr="009D7A02">
        <w:rPr>
          <w:rFonts w:ascii="Inter" w:hAnsi="Inter" w:cs="Arial"/>
        </w:rPr>
        <w:t xml:space="preserve"> with the conclusion that the Combined Authority has no legal obligation to provide financial support</w:t>
      </w:r>
      <w:r w:rsidR="6E3C3EF2" w:rsidRPr="009D7A02">
        <w:rPr>
          <w:rFonts w:ascii="Inter" w:hAnsi="Inter" w:cs="Arial"/>
        </w:rPr>
        <w:t xml:space="preserve"> to a Mayoral Development Corporation.</w:t>
      </w:r>
    </w:p>
    <w:p w14:paraId="6F0E6519" w14:textId="18D2E407" w:rsidR="00C26AA6" w:rsidRPr="009D7A02" w:rsidRDefault="00C26AA6" w:rsidP="16FD5590">
      <w:pPr>
        <w:pStyle w:val="ListParagraph"/>
        <w:spacing w:line="276" w:lineRule="auto"/>
        <w:ind w:left="567" w:hanging="567"/>
        <w:rPr>
          <w:rFonts w:ascii="Inter" w:hAnsi="Inter" w:cs="Arial"/>
        </w:rPr>
      </w:pPr>
    </w:p>
    <w:p w14:paraId="03A8F3BB" w14:textId="6822A045" w:rsidR="00C26AA6" w:rsidRPr="00DC168E" w:rsidRDefault="47C5CB23" w:rsidP="2DFE4DF5">
      <w:pPr>
        <w:pStyle w:val="ListParagraph"/>
        <w:numPr>
          <w:ilvl w:val="0"/>
          <w:numId w:val="10"/>
        </w:numPr>
        <w:spacing w:line="276" w:lineRule="auto"/>
        <w:ind w:left="567" w:hanging="567"/>
        <w:rPr>
          <w:rFonts w:ascii="Inter" w:eastAsia="Inter" w:hAnsi="Inter" w:cs="Inter"/>
          <w:szCs w:val="22"/>
        </w:rPr>
      </w:pPr>
      <w:r w:rsidRPr="00DC168E">
        <w:rPr>
          <w:rFonts w:ascii="Inter" w:eastAsia="Inter" w:hAnsi="Inter" w:cs="Inter"/>
          <w:szCs w:val="22"/>
        </w:rPr>
        <w:t>The draft budget as proposed does not currently include any provision for financial support to any of the Mayoral Development Corporations. The provision of any financial support to a Mayoral Development Corporation would be a Cabinet decision. This will be a consideration in relation to the Hartlepool Development Corporation and will be discussed further with Cabinet ahead of the final budget report in March.</w:t>
      </w:r>
    </w:p>
    <w:p w14:paraId="4B475128" w14:textId="77777777" w:rsidR="00C26AA6" w:rsidRPr="009D7A02" w:rsidRDefault="00C26AA6" w:rsidP="00267B7A">
      <w:pPr>
        <w:spacing w:line="276" w:lineRule="auto"/>
        <w:ind w:left="567" w:hanging="567"/>
        <w:rPr>
          <w:rFonts w:ascii="Inter" w:hAnsi="Inter" w:cs="Arial"/>
          <w:szCs w:val="22"/>
        </w:rPr>
      </w:pPr>
    </w:p>
    <w:p w14:paraId="58A9D754" w14:textId="15C0F34F" w:rsidR="00C26AA6" w:rsidRPr="009D7A02" w:rsidRDefault="00C26AA6" w:rsidP="00AD4EE9">
      <w:pPr>
        <w:pStyle w:val="ListParagraph"/>
        <w:numPr>
          <w:ilvl w:val="0"/>
          <w:numId w:val="10"/>
        </w:numPr>
        <w:ind w:left="567" w:hanging="567"/>
        <w:rPr>
          <w:rFonts w:ascii="Inter" w:hAnsi="Inter" w:cs="Arial"/>
          <w:szCs w:val="22"/>
        </w:rPr>
      </w:pPr>
      <w:r w:rsidRPr="009D7A02">
        <w:rPr>
          <w:rFonts w:ascii="Inter" w:hAnsi="Inter" w:cs="Arial"/>
          <w:szCs w:val="22"/>
        </w:rPr>
        <w:t>The report also includes reference to those matters which still require resolution for the final budget.</w:t>
      </w:r>
    </w:p>
    <w:p w14:paraId="54313CE1" w14:textId="77777777" w:rsidR="00C26AA6" w:rsidRPr="009D7A02" w:rsidRDefault="00C26AA6" w:rsidP="00C26AA6">
      <w:pPr>
        <w:rPr>
          <w:rFonts w:ascii="Inter" w:hAnsi="Inter" w:cs="Arial"/>
          <w:b/>
          <w:bCs/>
        </w:rPr>
      </w:pPr>
    </w:p>
    <w:p w14:paraId="47C307BA" w14:textId="10C1712A" w:rsidR="17391282" w:rsidRPr="009D7A02" w:rsidRDefault="17391282" w:rsidP="17391282">
      <w:pPr>
        <w:rPr>
          <w:rFonts w:ascii="Inter" w:hAnsi="Inter" w:cs="Arial"/>
          <w:b/>
          <w:bCs/>
        </w:rPr>
      </w:pPr>
    </w:p>
    <w:p w14:paraId="753272AD" w14:textId="1E828588" w:rsidR="00C26AA6" w:rsidRPr="009D7A02" w:rsidRDefault="00C26AA6" w:rsidP="00C26AA6">
      <w:pPr>
        <w:ind w:left="284" w:hanging="284"/>
        <w:rPr>
          <w:rFonts w:ascii="Inter" w:hAnsi="Inter" w:cs="Arial"/>
          <w:b/>
          <w:bCs/>
        </w:rPr>
      </w:pPr>
      <w:r w:rsidRPr="009D7A02">
        <w:rPr>
          <w:rFonts w:ascii="Inter" w:hAnsi="Inter" w:cs="Arial"/>
          <w:b/>
          <w:bCs/>
        </w:rPr>
        <w:t>BACKGROUND</w:t>
      </w:r>
    </w:p>
    <w:p w14:paraId="35983C20" w14:textId="7398EEF7" w:rsidR="4C71A937" w:rsidRPr="009D7A02" w:rsidRDefault="4C71A937" w:rsidP="4C71A937">
      <w:pPr>
        <w:ind w:left="284" w:hanging="284"/>
        <w:rPr>
          <w:rFonts w:ascii="Inter" w:hAnsi="Inter" w:cs="Arial"/>
          <w:b/>
          <w:bCs/>
        </w:rPr>
      </w:pPr>
    </w:p>
    <w:p w14:paraId="19F74874" w14:textId="10AC4049" w:rsidR="001E6D8E" w:rsidRPr="009D7A02" w:rsidRDefault="001E6D8E" w:rsidP="00AD4EE9">
      <w:pPr>
        <w:pStyle w:val="ListParagraph"/>
        <w:numPr>
          <w:ilvl w:val="0"/>
          <w:numId w:val="10"/>
        </w:numPr>
        <w:spacing w:line="276" w:lineRule="auto"/>
        <w:ind w:left="567" w:right="140" w:hanging="567"/>
        <w:rPr>
          <w:rFonts w:ascii="Inter" w:hAnsi="Inter" w:cs="Arial"/>
        </w:rPr>
      </w:pPr>
      <w:r w:rsidRPr="2DFE4DF5">
        <w:rPr>
          <w:rFonts w:ascii="Inter" w:eastAsiaTheme="minorEastAsia" w:hAnsi="Inter"/>
        </w:rPr>
        <w:t xml:space="preserve">As set out in the Tees Valley Combined Authority (TVCA) </w:t>
      </w:r>
      <w:r w:rsidR="06CAA378" w:rsidRPr="2DFE4DF5">
        <w:rPr>
          <w:rFonts w:ascii="Inter" w:eastAsiaTheme="minorEastAsia" w:hAnsi="Inter"/>
        </w:rPr>
        <w:t>C</w:t>
      </w:r>
      <w:r w:rsidRPr="2DFE4DF5">
        <w:rPr>
          <w:rFonts w:ascii="Inter" w:eastAsiaTheme="minorEastAsia" w:hAnsi="Inter"/>
        </w:rPr>
        <w:t>onstitution, the TVCA Chief Executive and Group Director of Finance and Resources shall prepare a draft Budget for the Combined Authority, consistent with statutory requirements and principles of sound financial management. The draft Budget shall also be presented in the context of the agre</w:t>
      </w:r>
      <w:r w:rsidR="005A6A2D" w:rsidRPr="2DFE4DF5">
        <w:rPr>
          <w:rFonts w:ascii="Inter" w:eastAsiaTheme="minorEastAsia" w:hAnsi="Inter"/>
        </w:rPr>
        <w:t>e</w:t>
      </w:r>
      <w:r w:rsidRPr="2DFE4DF5">
        <w:rPr>
          <w:rFonts w:ascii="Inter" w:eastAsiaTheme="minorEastAsia" w:hAnsi="Inter"/>
        </w:rPr>
        <w:t>d Investment Plan.</w:t>
      </w:r>
    </w:p>
    <w:p w14:paraId="3EA338BF" w14:textId="77777777" w:rsidR="001E6D8E" w:rsidRPr="009D7A02" w:rsidRDefault="001E6D8E" w:rsidP="00267B7A">
      <w:pPr>
        <w:spacing w:line="276" w:lineRule="auto"/>
        <w:ind w:left="567" w:right="140" w:hanging="567"/>
        <w:rPr>
          <w:rFonts w:ascii="Inter" w:hAnsi="Inter" w:cs="Arial"/>
          <w:szCs w:val="22"/>
        </w:rPr>
      </w:pPr>
    </w:p>
    <w:p w14:paraId="16C4D07B" w14:textId="1221DD1B" w:rsidR="001E6D8E" w:rsidRPr="009D7A02" w:rsidRDefault="001E6D8E" w:rsidP="00AD4EE9">
      <w:pPr>
        <w:pStyle w:val="ListParagraph"/>
        <w:numPr>
          <w:ilvl w:val="0"/>
          <w:numId w:val="10"/>
        </w:numPr>
        <w:spacing w:line="276" w:lineRule="auto"/>
        <w:ind w:left="567" w:right="140" w:hanging="567"/>
        <w:rPr>
          <w:rFonts w:ascii="Inter" w:hAnsi="Inter" w:cs="Arial"/>
          <w:szCs w:val="22"/>
        </w:rPr>
      </w:pPr>
      <w:r w:rsidRPr="009D7A02">
        <w:rPr>
          <w:rFonts w:ascii="Inter" w:hAnsi="Inter" w:cs="Arial"/>
          <w:szCs w:val="22"/>
        </w:rPr>
        <w:t xml:space="preserve">In accordance with the statutory requirements, the draft budget shall separate non-Investment </w:t>
      </w:r>
      <w:r w:rsidR="006F1D87">
        <w:rPr>
          <w:rFonts w:ascii="Inter" w:hAnsi="Inter" w:cs="Arial"/>
          <w:szCs w:val="22"/>
        </w:rPr>
        <w:t>P</w:t>
      </w:r>
      <w:r w:rsidRPr="009D7A02">
        <w:rPr>
          <w:rFonts w:ascii="Inter" w:hAnsi="Inter" w:cs="Arial"/>
          <w:szCs w:val="22"/>
        </w:rPr>
        <w:t>lan expenditure into proposed expenditure on the Mayor’s General Functions and proposed expenditure on Combined Authority Functions.  The Mayor has the power to levy a precept to deliver Mayoral functions.</w:t>
      </w:r>
    </w:p>
    <w:p w14:paraId="177EB10A" w14:textId="77777777" w:rsidR="001E6D8E" w:rsidRPr="009D7A02" w:rsidRDefault="001E6D8E" w:rsidP="00267B7A">
      <w:pPr>
        <w:spacing w:line="276" w:lineRule="auto"/>
        <w:ind w:left="567" w:right="140" w:hanging="567"/>
        <w:rPr>
          <w:rFonts w:ascii="Inter" w:hAnsi="Inter" w:cs="Arial"/>
          <w:szCs w:val="22"/>
        </w:rPr>
      </w:pPr>
    </w:p>
    <w:p w14:paraId="725A8281" w14:textId="77777777" w:rsidR="001E6D8E" w:rsidRPr="009D7A02" w:rsidRDefault="001E6D8E" w:rsidP="00AD4EE9">
      <w:pPr>
        <w:pStyle w:val="ListParagraph"/>
        <w:numPr>
          <w:ilvl w:val="0"/>
          <w:numId w:val="10"/>
        </w:numPr>
        <w:spacing w:line="276" w:lineRule="auto"/>
        <w:ind w:left="567" w:right="140" w:hanging="567"/>
        <w:rPr>
          <w:rFonts w:ascii="Inter" w:hAnsi="Inter" w:cs="Arial"/>
          <w:szCs w:val="22"/>
        </w:rPr>
      </w:pPr>
      <w:r w:rsidRPr="009D7A02">
        <w:rPr>
          <w:rFonts w:ascii="Inter" w:hAnsi="Inter" w:cs="Arial"/>
          <w:szCs w:val="22"/>
        </w:rPr>
        <w:t>The draft Mayoral budget must be presented to Cabinet for consideration and approval for the purposes of consultation by 1 February each year.  The Combined Authority must meet to consider the Mayor’s proposed draft Budget before 8 February in each year.</w:t>
      </w:r>
    </w:p>
    <w:p w14:paraId="154D7FB5" w14:textId="77777777" w:rsidR="001E6D8E" w:rsidRPr="009D7A02" w:rsidRDefault="001E6D8E" w:rsidP="00267B7A">
      <w:pPr>
        <w:spacing w:line="276" w:lineRule="auto"/>
        <w:ind w:left="567" w:right="140" w:hanging="567"/>
        <w:rPr>
          <w:rFonts w:ascii="Inter" w:hAnsi="Inter" w:cs="Arial"/>
          <w:szCs w:val="22"/>
        </w:rPr>
      </w:pPr>
    </w:p>
    <w:p w14:paraId="59290B82" w14:textId="77777777" w:rsidR="001E6D8E" w:rsidRPr="009D7A02" w:rsidRDefault="001E6D8E" w:rsidP="00AD4EE9">
      <w:pPr>
        <w:pStyle w:val="ListParagraph"/>
        <w:numPr>
          <w:ilvl w:val="0"/>
          <w:numId w:val="10"/>
        </w:numPr>
        <w:spacing w:line="276" w:lineRule="auto"/>
        <w:ind w:left="567" w:right="140" w:hanging="567"/>
        <w:rPr>
          <w:rFonts w:ascii="Inter" w:hAnsi="Inter" w:cs="Arial"/>
          <w:szCs w:val="22"/>
        </w:rPr>
      </w:pPr>
      <w:r w:rsidRPr="009D7A02">
        <w:rPr>
          <w:rFonts w:ascii="Inter" w:hAnsi="Inter" w:cs="Arial"/>
          <w:szCs w:val="22"/>
        </w:rPr>
        <w:t>Combined Authorities are intended to have the statutory power to levy for their transport functions. Unlike some Combined Authorities, the Tees Valley Combined Authority is not responsible for operating transport services.  There is therefore no current need to exercise this power and therefore a levy is not proposed for 2026/27.</w:t>
      </w:r>
    </w:p>
    <w:p w14:paraId="16AB6261" w14:textId="77777777" w:rsidR="001E6D8E" w:rsidRPr="009D7A02" w:rsidRDefault="001E6D8E" w:rsidP="00267B7A">
      <w:pPr>
        <w:spacing w:line="276" w:lineRule="auto"/>
        <w:ind w:left="567" w:right="140" w:hanging="567"/>
        <w:rPr>
          <w:rFonts w:ascii="Inter" w:hAnsi="Inter" w:cs="Arial"/>
          <w:szCs w:val="22"/>
        </w:rPr>
      </w:pPr>
    </w:p>
    <w:p w14:paraId="47E9E925" w14:textId="53DFC555" w:rsidR="001E6D8E" w:rsidRPr="009D7A02" w:rsidRDefault="001E6D8E" w:rsidP="2DFE4DF5">
      <w:pPr>
        <w:pStyle w:val="ListParagraph"/>
        <w:numPr>
          <w:ilvl w:val="0"/>
          <w:numId w:val="10"/>
        </w:numPr>
        <w:spacing w:line="276" w:lineRule="auto"/>
        <w:ind w:left="567" w:right="140" w:hanging="567"/>
        <w:rPr>
          <w:rFonts w:ascii="Inter" w:hAnsi="Inter" w:cs="Arial"/>
        </w:rPr>
      </w:pPr>
      <w:r w:rsidRPr="2DFE4DF5">
        <w:rPr>
          <w:rFonts w:ascii="Inter" w:hAnsi="Inter" w:cs="Arial"/>
        </w:rPr>
        <w:t xml:space="preserve">However, TVCA does administer concessionary fares on behalf of the local authorities and Cabinet is required to approve the proposed concessionary fares </w:t>
      </w:r>
      <w:r w:rsidR="04F87AAC" w:rsidRPr="2DFE4DF5">
        <w:rPr>
          <w:rFonts w:ascii="Inter" w:hAnsi="Inter" w:cs="Arial"/>
        </w:rPr>
        <w:t xml:space="preserve">budget </w:t>
      </w:r>
      <w:r w:rsidRPr="2DFE4DF5">
        <w:rPr>
          <w:rFonts w:ascii="Inter" w:hAnsi="Inter" w:cs="Arial"/>
        </w:rPr>
        <w:t>for the following financial year to enable th</w:t>
      </w:r>
      <w:r w:rsidR="04979CA2" w:rsidRPr="2DFE4DF5">
        <w:rPr>
          <w:rFonts w:ascii="Inter" w:hAnsi="Inter" w:cs="Arial"/>
        </w:rPr>
        <w:t>ese</w:t>
      </w:r>
      <w:r w:rsidRPr="2DFE4DF5">
        <w:rPr>
          <w:rFonts w:ascii="Inter" w:hAnsi="Inter" w:cs="Arial"/>
        </w:rPr>
        <w:t xml:space="preserve"> authorities to incorporate those amounts in their budgets for the following financial year.  </w:t>
      </w:r>
    </w:p>
    <w:p w14:paraId="73A21C56" w14:textId="77777777" w:rsidR="001E6D8E" w:rsidRPr="009D7A02" w:rsidRDefault="001E6D8E" w:rsidP="00267B7A">
      <w:pPr>
        <w:pStyle w:val="ListParagraph"/>
        <w:spacing w:line="276" w:lineRule="auto"/>
        <w:ind w:left="567" w:right="140" w:hanging="567"/>
        <w:contextualSpacing w:val="0"/>
        <w:rPr>
          <w:rFonts w:ascii="Inter" w:hAnsi="Inter" w:cs="Arial"/>
          <w:szCs w:val="22"/>
        </w:rPr>
      </w:pPr>
    </w:p>
    <w:p w14:paraId="2D25FEA9" w14:textId="77777777" w:rsidR="001E6D8E" w:rsidRPr="009D7A02" w:rsidRDefault="001E6D8E" w:rsidP="00AD4EE9">
      <w:pPr>
        <w:pStyle w:val="ListParagraph"/>
        <w:numPr>
          <w:ilvl w:val="0"/>
          <w:numId w:val="10"/>
        </w:numPr>
        <w:spacing w:line="276" w:lineRule="auto"/>
        <w:ind w:left="567" w:right="140" w:hanging="567"/>
        <w:contextualSpacing w:val="0"/>
        <w:rPr>
          <w:rFonts w:ascii="Inter" w:hAnsi="Inter" w:cs="Arial"/>
          <w:szCs w:val="22"/>
        </w:rPr>
      </w:pPr>
      <w:r w:rsidRPr="009D7A02">
        <w:rPr>
          <w:rFonts w:ascii="Inter" w:hAnsi="Inter" w:cs="Arial"/>
          <w:szCs w:val="22"/>
        </w:rPr>
        <w:t>The Combined Authority is required to follow local authority accounting rules in setting its annual budgets with the overarching requirement to set a balanced budget for the forthcoming financial year.  The final budget will also include the S73 Officer’s statement on the robustness of the budget estimates and the adequacy of reserves.</w:t>
      </w:r>
    </w:p>
    <w:p w14:paraId="25A77722" w14:textId="77777777" w:rsidR="001E6D8E" w:rsidRPr="009D7A02" w:rsidRDefault="001E6D8E" w:rsidP="00267B7A">
      <w:pPr>
        <w:pStyle w:val="ListParagraph"/>
        <w:spacing w:line="276" w:lineRule="auto"/>
        <w:ind w:left="567" w:right="140" w:hanging="567"/>
        <w:contextualSpacing w:val="0"/>
        <w:rPr>
          <w:rFonts w:ascii="Inter" w:hAnsi="Inter" w:cs="Arial"/>
          <w:szCs w:val="22"/>
        </w:rPr>
      </w:pPr>
    </w:p>
    <w:p w14:paraId="24920FBF" w14:textId="77777777" w:rsidR="001E6D8E" w:rsidRPr="009D7A02" w:rsidRDefault="001E6D8E" w:rsidP="00AD4EE9">
      <w:pPr>
        <w:pStyle w:val="ListParagraph"/>
        <w:numPr>
          <w:ilvl w:val="0"/>
          <w:numId w:val="10"/>
        </w:numPr>
        <w:spacing w:line="276" w:lineRule="auto"/>
        <w:ind w:left="567" w:right="140" w:hanging="567"/>
        <w:contextualSpacing w:val="0"/>
        <w:rPr>
          <w:rFonts w:ascii="Inter" w:hAnsi="Inter" w:cs="Arial"/>
          <w:szCs w:val="22"/>
        </w:rPr>
      </w:pPr>
      <w:r w:rsidRPr="009D7A02">
        <w:rPr>
          <w:rFonts w:ascii="Inter" w:hAnsi="Inter" w:cs="Arial"/>
          <w:szCs w:val="22"/>
        </w:rPr>
        <w:t>To accompany the proposed revenue and capital budgets and the Medium-Term Financial Plan (MTFP), the Authority is required to approve other supporting strategies.</w:t>
      </w:r>
    </w:p>
    <w:p w14:paraId="1272D54D" w14:textId="77777777" w:rsidR="001E6D8E" w:rsidRPr="009D7A02" w:rsidRDefault="001E6D8E" w:rsidP="00267B7A">
      <w:pPr>
        <w:pStyle w:val="ListParagraph"/>
        <w:spacing w:line="276" w:lineRule="auto"/>
        <w:ind w:left="567" w:right="140" w:hanging="567"/>
        <w:rPr>
          <w:rFonts w:ascii="Inter" w:hAnsi="Inter" w:cs="Arial"/>
          <w:szCs w:val="22"/>
        </w:rPr>
      </w:pPr>
    </w:p>
    <w:p w14:paraId="5A6DA651" w14:textId="77777777"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The Chartered Institute of Public Finance and Accountancy (CIPFA) Prudential Code 2017 included a new requirement for local authorities to produce a Capital Strategy to demonstrate that capital expenditure and investment decisions are taken in line with strategic objectives and take account of stewardship, value for money, prudence, sustainability and affordability.  A Capital Strategy will therefore be presented as part of the final budget proposals.</w:t>
      </w:r>
    </w:p>
    <w:p w14:paraId="68AE879A" w14:textId="77777777" w:rsidR="001E6D8E" w:rsidRPr="009D7A02" w:rsidRDefault="001E6D8E" w:rsidP="00267B7A">
      <w:pPr>
        <w:pStyle w:val="ListParagraph"/>
        <w:spacing w:line="276" w:lineRule="auto"/>
        <w:ind w:left="567" w:right="140" w:hanging="567"/>
        <w:rPr>
          <w:rFonts w:ascii="Inter" w:hAnsi="Inter" w:cs="Arial"/>
        </w:rPr>
      </w:pPr>
    </w:p>
    <w:p w14:paraId="403BF749" w14:textId="1E109945" w:rsidR="001E6D8E" w:rsidRPr="009D7A02" w:rsidRDefault="001E6D8E" w:rsidP="2DFE4DF5">
      <w:pPr>
        <w:pStyle w:val="ListParagraph"/>
        <w:numPr>
          <w:ilvl w:val="0"/>
          <w:numId w:val="10"/>
        </w:numPr>
        <w:spacing w:line="276" w:lineRule="auto"/>
        <w:ind w:left="567" w:right="140" w:hanging="567"/>
        <w:rPr>
          <w:rFonts w:ascii="Inter" w:hAnsi="Inter" w:cs="Arial"/>
        </w:rPr>
      </w:pPr>
      <w:r w:rsidRPr="2DFE4DF5">
        <w:rPr>
          <w:rFonts w:ascii="Inter" w:hAnsi="Inter" w:cs="Arial"/>
        </w:rPr>
        <w:lastRenderedPageBreak/>
        <w:t xml:space="preserve">The Local Government Act 2003 requires Councils to have regard to the CIPFA Prudential Code on Treasury Management (the Code).  Not only is there a requirement for </w:t>
      </w:r>
      <w:r w:rsidR="39A88FFE" w:rsidRPr="2DFE4DF5">
        <w:rPr>
          <w:rFonts w:ascii="Inter" w:hAnsi="Inter" w:cs="Arial"/>
        </w:rPr>
        <w:t xml:space="preserve">an </w:t>
      </w:r>
      <w:r w:rsidRPr="2DFE4DF5">
        <w:rPr>
          <w:rFonts w:ascii="Inter" w:hAnsi="Inter" w:cs="Arial"/>
        </w:rPr>
        <w:t>Authority to set a balanced revenue budget but also a capital programme that is prudent, affordable and sustainable. Underpinning this is the requirement to have sufficient funds available at the appropriate time to meet those requirements. It is the remit of the Treasury Management function to ensure this happens.</w:t>
      </w:r>
    </w:p>
    <w:p w14:paraId="578A8D00" w14:textId="77777777" w:rsidR="001E6D8E" w:rsidRPr="009D7A02" w:rsidRDefault="001E6D8E" w:rsidP="00267B7A">
      <w:pPr>
        <w:pStyle w:val="ListParagraph"/>
        <w:spacing w:line="276" w:lineRule="auto"/>
        <w:ind w:left="567" w:right="140" w:hanging="567"/>
        <w:rPr>
          <w:rFonts w:ascii="Inter" w:hAnsi="Inter" w:cs="Arial"/>
          <w:szCs w:val="22"/>
        </w:rPr>
      </w:pPr>
    </w:p>
    <w:p w14:paraId="79501EE6" w14:textId="43C2372C" w:rsidR="001E6D8E" w:rsidRPr="009D7A02" w:rsidRDefault="001E6D8E" w:rsidP="00AD4EE9">
      <w:pPr>
        <w:pStyle w:val="ListParagraph"/>
        <w:numPr>
          <w:ilvl w:val="0"/>
          <w:numId w:val="10"/>
        </w:numPr>
        <w:spacing w:line="276" w:lineRule="auto"/>
        <w:ind w:left="567" w:right="140" w:hanging="567"/>
        <w:rPr>
          <w:rFonts w:ascii="Inter" w:hAnsi="Inter" w:cs="Arial"/>
        </w:rPr>
      </w:pPr>
      <w:r w:rsidRPr="2DFE4DF5">
        <w:rPr>
          <w:rFonts w:ascii="Inter" w:hAnsi="Inter" w:cs="Arial"/>
        </w:rPr>
        <w:t xml:space="preserve">The CIPFA Treasury Management Code 2021 requires the </w:t>
      </w:r>
      <w:r w:rsidR="06DDB110" w:rsidRPr="2DFE4DF5">
        <w:rPr>
          <w:rFonts w:ascii="Inter" w:hAnsi="Inter" w:cs="Arial"/>
        </w:rPr>
        <w:t>Authority</w:t>
      </w:r>
      <w:r w:rsidRPr="2DFE4DF5">
        <w:rPr>
          <w:rFonts w:ascii="Inter" w:hAnsi="Inter" w:cs="Arial"/>
        </w:rPr>
        <w:t xml:space="preserve"> to approve a Treasury Management Strategy annually and this will be presented to Cabinet for approval in March.  This will include the Minimum Revenue Provision Policy which sets out the Authority’s approach to setting aside amounts within its revenue budgets to repay debt over the long term.</w:t>
      </w:r>
    </w:p>
    <w:p w14:paraId="11BE5EF6" w14:textId="77777777" w:rsidR="001E6D8E" w:rsidRPr="009D7A02" w:rsidRDefault="001E6D8E" w:rsidP="00267B7A">
      <w:pPr>
        <w:pStyle w:val="ListParagraph"/>
        <w:spacing w:line="276" w:lineRule="auto"/>
        <w:ind w:left="567" w:right="140" w:hanging="567"/>
        <w:rPr>
          <w:rFonts w:ascii="Inter" w:hAnsi="Inter" w:cs="Arial"/>
        </w:rPr>
      </w:pPr>
    </w:p>
    <w:p w14:paraId="4F4DAB27" w14:textId="77777777"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It is good practice for Cabinet to also approve a Reserves Policy annually which sets out the Authority’s approach to maintaining reserves to manage financial risks over the medium term.</w:t>
      </w:r>
    </w:p>
    <w:p w14:paraId="71ABE250" w14:textId="77777777" w:rsidR="001E6D8E" w:rsidRPr="009D7A02" w:rsidRDefault="001E6D8E" w:rsidP="16FD5590">
      <w:pPr>
        <w:pStyle w:val="ListParagraph"/>
        <w:spacing w:line="276" w:lineRule="auto"/>
        <w:ind w:left="567" w:right="140" w:hanging="567"/>
        <w:rPr>
          <w:rFonts w:ascii="Inter" w:hAnsi="Inter" w:cs="Arial"/>
          <w:b/>
          <w:bCs/>
        </w:rPr>
      </w:pPr>
    </w:p>
    <w:p w14:paraId="76DBADD4" w14:textId="7931A0DA" w:rsidR="16FD5590" w:rsidRPr="009D7A02" w:rsidRDefault="16FD5590" w:rsidP="16FD5590">
      <w:pPr>
        <w:pStyle w:val="ListParagraph"/>
        <w:spacing w:line="276" w:lineRule="auto"/>
        <w:ind w:left="567" w:right="140" w:hanging="567"/>
        <w:rPr>
          <w:rFonts w:ascii="Inter" w:hAnsi="Inter" w:cs="Arial"/>
          <w:b/>
          <w:bCs/>
        </w:rPr>
      </w:pPr>
    </w:p>
    <w:p w14:paraId="6A160D86" w14:textId="40295AC6" w:rsidR="001E6D8E" w:rsidRPr="009D7A02" w:rsidRDefault="001E6D8E" w:rsidP="00D06EAE">
      <w:pPr>
        <w:pStyle w:val="ListParagraph"/>
        <w:spacing w:line="276" w:lineRule="auto"/>
        <w:ind w:left="0" w:right="140"/>
        <w:rPr>
          <w:rFonts w:ascii="Inter" w:hAnsi="Inter" w:cs="Arial"/>
          <w:b/>
          <w:bCs/>
        </w:rPr>
      </w:pPr>
      <w:r w:rsidRPr="009D7A02">
        <w:rPr>
          <w:rFonts w:ascii="Inter" w:hAnsi="Inter" w:cs="Arial"/>
          <w:b/>
          <w:bCs/>
        </w:rPr>
        <w:t>C</w:t>
      </w:r>
      <w:r w:rsidR="005151AB" w:rsidRPr="009D7A02">
        <w:rPr>
          <w:rFonts w:ascii="Inter" w:hAnsi="Inter" w:cs="Arial"/>
          <w:b/>
          <w:bCs/>
        </w:rPr>
        <w:t>ONTEXT</w:t>
      </w:r>
    </w:p>
    <w:p w14:paraId="33CB1313" w14:textId="7194FB18" w:rsidR="4FA723A3" w:rsidRPr="009D7A02" w:rsidRDefault="4FA723A3" w:rsidP="4FA723A3">
      <w:pPr>
        <w:pStyle w:val="ListParagraph"/>
        <w:spacing w:line="276" w:lineRule="auto"/>
        <w:ind w:left="0" w:right="140"/>
        <w:rPr>
          <w:rFonts w:ascii="Inter" w:hAnsi="Inter" w:cs="Arial"/>
          <w:b/>
          <w:bCs/>
        </w:rPr>
      </w:pPr>
    </w:p>
    <w:p w14:paraId="6B11AE43" w14:textId="77777777"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The work of Combined Authorities is funded through devolved monies from central government (Mayoral Investment Fund) or by revenues raised directly.  Established Mayoral Strategic Authorities are eligible to receive an integrated settlement. TVCA is not currently an Established Mayoral Strategic Authority.</w:t>
      </w:r>
    </w:p>
    <w:p w14:paraId="20571F5A" w14:textId="4883E419" w:rsidR="001E6D8E" w:rsidRPr="009D7A02" w:rsidRDefault="001E6D8E" w:rsidP="00267B7A">
      <w:pPr>
        <w:pStyle w:val="ListParagraph"/>
        <w:spacing w:line="276" w:lineRule="auto"/>
        <w:ind w:left="567" w:right="140" w:hanging="567"/>
        <w:rPr>
          <w:rFonts w:ascii="Inter" w:hAnsi="Inter" w:cs="Arial"/>
        </w:rPr>
      </w:pPr>
    </w:p>
    <w:p w14:paraId="495A7F76" w14:textId="77777777"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 xml:space="preserve">Combined Authorities receive a baseline level of devolution funding which is fixed for a 30-year period although the level of funding differs between authorities.  These amounts are subject to five-yearly reviews by government to assess the impact that the devolved funds have had on local and regional economic development and growth.  Under its devolution agreement, TVCA currently receives £15m annually. </w:t>
      </w:r>
    </w:p>
    <w:p w14:paraId="2FD89B73" w14:textId="06D28008" w:rsidR="001E6D8E" w:rsidRPr="009D7A02" w:rsidRDefault="001E6D8E" w:rsidP="00267B7A">
      <w:pPr>
        <w:pStyle w:val="ListParagraph"/>
        <w:spacing w:line="276" w:lineRule="auto"/>
        <w:ind w:left="567" w:right="140" w:hanging="567"/>
        <w:rPr>
          <w:rFonts w:ascii="Inter" w:hAnsi="Inter" w:cs="Arial"/>
        </w:rPr>
      </w:pPr>
    </w:p>
    <w:p w14:paraId="23D04C7E" w14:textId="128B85B4" w:rsidR="001E6D8E" w:rsidRPr="009D7A02" w:rsidRDefault="604DB0A5" w:rsidP="00AD4EE9">
      <w:pPr>
        <w:pStyle w:val="ListParagraph"/>
        <w:numPr>
          <w:ilvl w:val="0"/>
          <w:numId w:val="10"/>
        </w:numPr>
        <w:spacing w:line="276" w:lineRule="auto"/>
        <w:ind w:left="567" w:right="140" w:hanging="567"/>
        <w:rPr>
          <w:rFonts w:ascii="Inter" w:hAnsi="Inter" w:cs="Arial"/>
        </w:rPr>
      </w:pPr>
      <w:r w:rsidRPr="201C5191">
        <w:rPr>
          <w:rFonts w:ascii="Inter" w:hAnsi="Inter" w:cs="Arial"/>
        </w:rPr>
        <w:t xml:space="preserve">Mayoral Capacity Funding is to support Strategic Authorities’ staffing and administrative costs, and central corporate functions. The government will deliver Mayoral Capacity Funding through the Local Government Finance Settlement to all eligible existing Strategic Authorities. The government has published draft figures for 2026-27 and final figures will be confirmed in early 2026 as part of the final Local Government Finance Settlement following the provisional consultation period. </w:t>
      </w:r>
      <w:r w:rsidRPr="4252674D">
        <w:rPr>
          <w:rFonts w:ascii="Inter" w:hAnsi="Inter" w:cs="Arial"/>
        </w:rPr>
        <w:t xml:space="preserve">The </w:t>
      </w:r>
      <w:r w:rsidRPr="4252674D">
        <w:rPr>
          <w:rFonts w:ascii="Inter" w:hAnsi="Inter" w:cs="Arial"/>
        </w:rPr>
        <w:lastRenderedPageBreak/>
        <w:t>TVCA provisional allocation for 2026/27 is £1,679,720.10</w:t>
      </w:r>
      <w:r w:rsidR="73EBBC04" w:rsidRPr="4252674D">
        <w:rPr>
          <w:rFonts w:ascii="Inter" w:hAnsi="Inter" w:cs="Arial"/>
        </w:rPr>
        <w:t xml:space="preserve"> which comprises £1.5m </w:t>
      </w:r>
      <w:r w:rsidR="1FBECD5B" w:rsidRPr="4252674D">
        <w:rPr>
          <w:rFonts w:ascii="Inter" w:hAnsi="Inter" w:cs="Arial"/>
        </w:rPr>
        <w:t>Mayoral</w:t>
      </w:r>
      <w:r w:rsidR="73EBBC04" w:rsidRPr="4252674D">
        <w:rPr>
          <w:rFonts w:ascii="Inter" w:hAnsi="Inter" w:cs="Arial"/>
        </w:rPr>
        <w:t xml:space="preserve"> </w:t>
      </w:r>
      <w:r w:rsidR="0A2BBB04" w:rsidRPr="4252674D">
        <w:rPr>
          <w:rFonts w:ascii="Inter" w:hAnsi="Inter" w:cs="Arial"/>
        </w:rPr>
        <w:t>Capacity</w:t>
      </w:r>
      <w:r w:rsidR="73EBBC04" w:rsidRPr="4252674D">
        <w:rPr>
          <w:rFonts w:ascii="Inter" w:hAnsi="Inter" w:cs="Arial"/>
        </w:rPr>
        <w:t xml:space="preserve"> grant and the continuation of the Employers National Insurance Grant of £0.179m</w:t>
      </w:r>
      <w:r w:rsidR="34700E20" w:rsidRPr="4252674D">
        <w:rPr>
          <w:rFonts w:ascii="Inter" w:hAnsi="Inter" w:cs="Arial"/>
        </w:rPr>
        <w:t>.</w:t>
      </w:r>
    </w:p>
    <w:p w14:paraId="09133CB8" w14:textId="54866A6D" w:rsidR="001E6D8E" w:rsidRPr="009D7A02" w:rsidRDefault="001E6D8E" w:rsidP="00267B7A">
      <w:pPr>
        <w:pStyle w:val="ListParagraph"/>
        <w:spacing w:line="276" w:lineRule="auto"/>
        <w:ind w:left="567" w:right="140" w:hanging="567"/>
        <w:rPr>
          <w:rFonts w:ascii="Inter" w:hAnsi="Inter" w:cs="Arial"/>
        </w:rPr>
      </w:pPr>
    </w:p>
    <w:p w14:paraId="420D0223" w14:textId="72DA2F2A" w:rsidR="001E6D8E" w:rsidRPr="009D7A02" w:rsidRDefault="001E6D8E" w:rsidP="00AD4EE9">
      <w:pPr>
        <w:pStyle w:val="ListParagraph"/>
        <w:numPr>
          <w:ilvl w:val="0"/>
          <w:numId w:val="10"/>
        </w:numPr>
        <w:spacing w:line="276" w:lineRule="auto"/>
        <w:ind w:left="567" w:right="140" w:hanging="567"/>
        <w:rPr>
          <w:rFonts w:ascii="Inter" w:hAnsi="Inter" w:cs="Arial"/>
        </w:rPr>
      </w:pPr>
      <w:r w:rsidRPr="2DFE4DF5">
        <w:rPr>
          <w:rFonts w:ascii="Inter" w:hAnsi="Inter" w:cs="Arial"/>
        </w:rPr>
        <w:t xml:space="preserve">Beyond the known 30-year devolution funding and the Mayoral Capacity Funding, </w:t>
      </w:r>
      <w:r w:rsidR="5ADBB1EC" w:rsidRPr="2DFE4DF5">
        <w:rPr>
          <w:rFonts w:ascii="Inter" w:hAnsi="Inter" w:cs="Arial"/>
        </w:rPr>
        <w:t xml:space="preserve">it </w:t>
      </w:r>
      <w:r w:rsidRPr="2DFE4DF5">
        <w:rPr>
          <w:rFonts w:ascii="Inter" w:hAnsi="Inter" w:cs="Arial"/>
        </w:rPr>
        <w:t xml:space="preserve">is difficult to forecast what additional funding may be available to combined authorities.  As the nature of combined authority work is underpinned by strategic investment in the region, significant grants accessible tend to be capital funding although there are often revenue elements to accompany the capital funding.  Separate revenue grants for specific government priorities may also be available to access. </w:t>
      </w:r>
    </w:p>
    <w:p w14:paraId="0817C166" w14:textId="43ADC84A" w:rsidR="001E6D8E" w:rsidRPr="009D7A02" w:rsidRDefault="001E6D8E" w:rsidP="00267B7A">
      <w:pPr>
        <w:pStyle w:val="ListParagraph"/>
        <w:spacing w:line="276" w:lineRule="auto"/>
        <w:ind w:left="567" w:right="140" w:hanging="567"/>
        <w:rPr>
          <w:rFonts w:ascii="Inter" w:hAnsi="Inter" w:cs="Arial"/>
        </w:rPr>
      </w:pPr>
    </w:p>
    <w:p w14:paraId="126320E0" w14:textId="77777777"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The revenue and capital grants included within the proposed draft budget for 2026/27 are set out in the relevant section of this report.</w:t>
      </w:r>
    </w:p>
    <w:p w14:paraId="7FF0FB67" w14:textId="77777777" w:rsidR="001E6D8E" w:rsidRPr="009D7A02" w:rsidRDefault="001E6D8E" w:rsidP="00267B7A">
      <w:pPr>
        <w:pStyle w:val="ListParagraph"/>
        <w:spacing w:line="276" w:lineRule="auto"/>
        <w:ind w:left="567" w:right="140" w:hanging="567"/>
        <w:rPr>
          <w:rFonts w:ascii="Inter" w:hAnsi="Inter" w:cs="Arial"/>
        </w:rPr>
      </w:pPr>
    </w:p>
    <w:p w14:paraId="5AE989F0" w14:textId="77777777"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At the Autumn Budget, the Government announced its intention to strengthen the Business Rates Retention system to better support Mayoral Strategic Authorities in driving local growth.</w:t>
      </w:r>
    </w:p>
    <w:p w14:paraId="4C5DAF34" w14:textId="77777777" w:rsidR="001E6D8E" w:rsidRPr="009D7A02" w:rsidRDefault="001E6D8E" w:rsidP="00267B7A">
      <w:pPr>
        <w:pStyle w:val="ListParagraph"/>
        <w:spacing w:line="276" w:lineRule="auto"/>
        <w:ind w:left="567" w:right="140" w:hanging="567"/>
        <w:rPr>
          <w:rFonts w:ascii="Inter" w:hAnsi="Inter" w:cs="Arial"/>
        </w:rPr>
      </w:pPr>
    </w:p>
    <w:p w14:paraId="411730C3" w14:textId="4A2595EF"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A new offer will allow Mayoral Strategic Authorities to propose a Business Rates Retention zone that can help unlock investment and growth in the area and Mayors are invited to co-develop an offer for their area.  The broad criteria are:</w:t>
      </w:r>
    </w:p>
    <w:p w14:paraId="31B67EA2" w14:textId="77777777" w:rsidR="001E6D8E" w:rsidRPr="009D7A02" w:rsidRDefault="001E6D8E" w:rsidP="00267B7A">
      <w:pPr>
        <w:pStyle w:val="ListParagraph"/>
        <w:spacing w:line="276" w:lineRule="auto"/>
        <w:ind w:left="567" w:right="140" w:hanging="567"/>
        <w:rPr>
          <w:rFonts w:ascii="Inter" w:hAnsi="Inter" w:cs="Arial"/>
        </w:rPr>
      </w:pPr>
    </w:p>
    <w:p w14:paraId="4124E5DE" w14:textId="77777777" w:rsidR="001E6D8E" w:rsidRPr="009D7A02" w:rsidRDefault="001E6D8E" w:rsidP="00AD4EE9">
      <w:pPr>
        <w:pStyle w:val="ListParagraph"/>
        <w:numPr>
          <w:ilvl w:val="0"/>
          <w:numId w:val="9"/>
        </w:numPr>
        <w:spacing w:line="276" w:lineRule="auto"/>
        <w:ind w:left="851" w:right="140" w:hanging="284"/>
        <w:rPr>
          <w:rFonts w:ascii="Inter" w:hAnsi="Inter" w:cs="Arial"/>
        </w:rPr>
      </w:pPr>
      <w:r w:rsidRPr="009D7A02">
        <w:rPr>
          <w:rFonts w:ascii="Inter" w:hAnsi="Inter" w:cs="Arial"/>
          <w:b/>
        </w:rPr>
        <w:t>Size</w:t>
      </w:r>
      <w:r w:rsidRPr="009D7A02">
        <w:rPr>
          <w:rFonts w:ascii="Inter" w:hAnsi="Inter" w:cs="Arial"/>
        </w:rPr>
        <w:t>: A single, contiguous site no more than 300 hectares, with a clear boundary.</w:t>
      </w:r>
    </w:p>
    <w:p w14:paraId="3F934765" w14:textId="77777777" w:rsidR="001E6D8E" w:rsidRPr="009D7A02" w:rsidRDefault="001E6D8E" w:rsidP="00AD4EE9">
      <w:pPr>
        <w:pStyle w:val="ListParagraph"/>
        <w:numPr>
          <w:ilvl w:val="0"/>
          <w:numId w:val="9"/>
        </w:numPr>
        <w:spacing w:line="276" w:lineRule="auto"/>
        <w:ind w:left="851" w:right="140" w:hanging="284"/>
        <w:rPr>
          <w:rFonts w:ascii="Inter" w:hAnsi="Inter" w:cs="Arial"/>
        </w:rPr>
      </w:pPr>
      <w:r w:rsidRPr="009D7A02">
        <w:rPr>
          <w:rFonts w:ascii="Inter" w:hAnsi="Inter" w:cs="Arial"/>
          <w:b/>
        </w:rPr>
        <w:t>Developable land</w:t>
      </w:r>
      <w:r w:rsidRPr="009D7A02">
        <w:rPr>
          <w:rFonts w:ascii="Inter" w:hAnsi="Inter" w:cs="Arial"/>
        </w:rPr>
        <w:t>: The site should have scope for development and exclude major existing ratepaying hereditaments (e.g., airports).</w:t>
      </w:r>
    </w:p>
    <w:p w14:paraId="1026CE0D" w14:textId="77777777" w:rsidR="001E6D8E" w:rsidRPr="009D7A02" w:rsidRDefault="001E6D8E" w:rsidP="00AD4EE9">
      <w:pPr>
        <w:pStyle w:val="ListParagraph"/>
        <w:numPr>
          <w:ilvl w:val="0"/>
          <w:numId w:val="9"/>
        </w:numPr>
        <w:spacing w:line="276" w:lineRule="auto"/>
        <w:ind w:left="851" w:right="140" w:hanging="284"/>
        <w:rPr>
          <w:rFonts w:ascii="Inter" w:hAnsi="Inter" w:cs="Arial"/>
        </w:rPr>
      </w:pPr>
      <w:r w:rsidRPr="009D7A02">
        <w:rPr>
          <w:rFonts w:ascii="Inter" w:hAnsi="Inter" w:cs="Arial"/>
          <w:b/>
        </w:rPr>
        <w:t>Connectivity &amp; link to interventions</w:t>
      </w:r>
      <w:r w:rsidRPr="009D7A02">
        <w:rPr>
          <w:rFonts w:ascii="Inter" w:hAnsi="Inter" w:cs="Arial"/>
        </w:rPr>
        <w:t>: Zones should be well connected or have credible plans for connectivity, linked to significant interventions such as transport investment or major commercial developments.</w:t>
      </w:r>
    </w:p>
    <w:p w14:paraId="3BBB92D4" w14:textId="77777777" w:rsidR="001E6D8E" w:rsidRPr="009D7A02" w:rsidRDefault="001E6D8E" w:rsidP="00AD4EE9">
      <w:pPr>
        <w:pStyle w:val="ListParagraph"/>
        <w:numPr>
          <w:ilvl w:val="0"/>
          <w:numId w:val="9"/>
        </w:numPr>
        <w:spacing w:line="276" w:lineRule="auto"/>
        <w:ind w:left="851" w:right="140" w:hanging="284"/>
        <w:rPr>
          <w:rFonts w:ascii="Inter" w:hAnsi="Inter" w:cs="Arial"/>
        </w:rPr>
      </w:pPr>
      <w:r w:rsidRPr="009D7A02">
        <w:rPr>
          <w:rFonts w:ascii="Inter" w:hAnsi="Inter" w:cs="Arial"/>
          <w:b/>
        </w:rPr>
        <w:t>Alignment with Government growth priorities</w:t>
      </w:r>
      <w:r w:rsidRPr="009D7A02">
        <w:rPr>
          <w:rFonts w:ascii="Inter" w:hAnsi="Inter" w:cs="Arial"/>
        </w:rPr>
        <w:t>: Proposals should align with Local Growth Plans and national priorities such as the Industrial Strategy or Northern Corridor.</w:t>
      </w:r>
    </w:p>
    <w:p w14:paraId="25FC9B25" w14:textId="77777777" w:rsidR="001E6D8E" w:rsidRPr="009D7A02" w:rsidRDefault="001E6D8E" w:rsidP="00AD4EE9">
      <w:pPr>
        <w:pStyle w:val="ListParagraph"/>
        <w:numPr>
          <w:ilvl w:val="0"/>
          <w:numId w:val="9"/>
        </w:numPr>
        <w:spacing w:line="276" w:lineRule="auto"/>
        <w:ind w:left="851" w:right="140" w:hanging="284"/>
        <w:rPr>
          <w:rFonts w:ascii="Inter" w:hAnsi="Inter" w:cs="Arial"/>
        </w:rPr>
      </w:pPr>
      <w:r w:rsidRPr="2DFE4DF5">
        <w:rPr>
          <w:rFonts w:ascii="Inter" w:hAnsi="Inter" w:cs="Arial"/>
          <w:b/>
          <w:bCs/>
        </w:rPr>
        <w:t>Confidence in projected growth</w:t>
      </w:r>
      <w:r w:rsidRPr="2DFE4DF5">
        <w:rPr>
          <w:rFonts w:ascii="Inter" w:hAnsi="Inter" w:cs="Arial"/>
        </w:rPr>
        <w:t>: Authorities must evidence credible growth projections backed by commercial interest and robust modelling.</w:t>
      </w:r>
    </w:p>
    <w:p w14:paraId="06243B29" w14:textId="56191BEE" w:rsidR="001E6D8E" w:rsidRPr="009D7A02" w:rsidRDefault="001E6D8E" w:rsidP="00AD4EE9">
      <w:pPr>
        <w:pStyle w:val="ListParagraph"/>
        <w:numPr>
          <w:ilvl w:val="0"/>
          <w:numId w:val="9"/>
        </w:numPr>
        <w:spacing w:line="276" w:lineRule="auto"/>
        <w:ind w:left="851" w:right="140" w:hanging="284"/>
        <w:rPr>
          <w:rFonts w:ascii="Inter" w:hAnsi="Inter" w:cs="Arial"/>
        </w:rPr>
      </w:pPr>
      <w:r w:rsidRPr="009D7A02">
        <w:rPr>
          <w:rFonts w:ascii="Inter" w:hAnsi="Inter" w:cs="Arial"/>
          <w:b/>
          <w:bCs/>
        </w:rPr>
        <w:t>Credible investment plan</w:t>
      </w:r>
      <w:r w:rsidRPr="009D7A02">
        <w:rPr>
          <w:rFonts w:ascii="Inter" w:hAnsi="Inter" w:cs="Arial"/>
        </w:rPr>
        <w:t>: A clear plan for how the zone will enable investment, including sustainable borrowing strategies.</w:t>
      </w:r>
    </w:p>
    <w:p w14:paraId="1FEE1DD5" w14:textId="2771BA5F" w:rsidR="001E6D8E" w:rsidRPr="009D7A02" w:rsidRDefault="001E6D8E" w:rsidP="00AD4EE9">
      <w:pPr>
        <w:pStyle w:val="ListParagraph"/>
        <w:numPr>
          <w:ilvl w:val="0"/>
          <w:numId w:val="9"/>
        </w:numPr>
        <w:spacing w:line="276" w:lineRule="auto"/>
        <w:ind w:left="851" w:right="140" w:hanging="284"/>
        <w:rPr>
          <w:rFonts w:ascii="Inter" w:hAnsi="Inter" w:cs="Arial"/>
        </w:rPr>
      </w:pPr>
      <w:r w:rsidRPr="009D7A02">
        <w:rPr>
          <w:rFonts w:ascii="Inter" w:hAnsi="Inter" w:cs="Arial"/>
          <w:b/>
          <w:bCs/>
        </w:rPr>
        <w:t>Strong local leadership</w:t>
      </w:r>
      <w:r w:rsidRPr="009D7A02">
        <w:rPr>
          <w:rFonts w:ascii="Inter" w:hAnsi="Inter" w:cs="Arial"/>
        </w:rPr>
        <w:t>: Zones should reflect the principles of devolution, with formal agreements between Mayoral Strategic Authorities and Local Authorities on reinvestment of retained rates.</w:t>
      </w:r>
    </w:p>
    <w:p w14:paraId="0CFB4AC6" w14:textId="77777777" w:rsidR="001E6D8E" w:rsidRPr="009D7A02" w:rsidRDefault="001E6D8E" w:rsidP="001E6D8E">
      <w:pPr>
        <w:spacing w:line="276" w:lineRule="auto"/>
        <w:ind w:right="140"/>
        <w:rPr>
          <w:rFonts w:ascii="Inter" w:hAnsi="Inter" w:cs="Arial"/>
        </w:rPr>
      </w:pPr>
    </w:p>
    <w:p w14:paraId="1F7051F8" w14:textId="7E8D1A3F" w:rsidR="001E6D8E" w:rsidRPr="009D7A02" w:rsidRDefault="001E6D8E" w:rsidP="00AD4EE9">
      <w:pPr>
        <w:pStyle w:val="ListParagraph"/>
        <w:numPr>
          <w:ilvl w:val="0"/>
          <w:numId w:val="10"/>
        </w:numPr>
        <w:spacing w:line="276" w:lineRule="auto"/>
        <w:ind w:left="567" w:right="140" w:hanging="567"/>
        <w:rPr>
          <w:rFonts w:ascii="Inter" w:hAnsi="Inter"/>
        </w:rPr>
      </w:pPr>
      <w:r w:rsidRPr="2DFE4DF5">
        <w:rPr>
          <w:rFonts w:ascii="Inter" w:hAnsi="Inter"/>
        </w:rPr>
        <w:t xml:space="preserve">The </w:t>
      </w:r>
      <w:r w:rsidR="009A76E1">
        <w:rPr>
          <w:rFonts w:ascii="Inter" w:hAnsi="Inter"/>
        </w:rPr>
        <w:t>G</w:t>
      </w:r>
      <w:r w:rsidRPr="2DFE4DF5">
        <w:rPr>
          <w:rFonts w:ascii="Inter" w:hAnsi="Inter"/>
        </w:rPr>
        <w:t xml:space="preserve">overnment has proposed </w:t>
      </w:r>
      <w:r w:rsidR="3AA2823B" w:rsidRPr="2DFE4DF5">
        <w:rPr>
          <w:rFonts w:ascii="Inter" w:hAnsi="Inter"/>
        </w:rPr>
        <w:t>the</w:t>
      </w:r>
      <w:r w:rsidRPr="2DFE4DF5">
        <w:rPr>
          <w:rFonts w:ascii="Inter" w:hAnsi="Inter"/>
        </w:rPr>
        <w:t xml:space="preserve"> new offer to Mayoral Strategic Authorities on business rates retention to support Mayors more consistently in driving growth. Options being considered include allocating Mayoral Strategic Authorities a direct share of business rates to build on Local Growth Plans, allowing more tax to be spent where it is raised and providing Mayors with a share of regional growth. The </w:t>
      </w:r>
      <w:r w:rsidR="00F978C4">
        <w:rPr>
          <w:rFonts w:ascii="Inter" w:hAnsi="Inter"/>
        </w:rPr>
        <w:t>G</w:t>
      </w:r>
      <w:r w:rsidRPr="2DFE4DF5">
        <w:rPr>
          <w:rFonts w:ascii="Inter" w:hAnsi="Inter"/>
        </w:rPr>
        <w:t>overnment will engage with Mayoral Strategic Authorities in the New Year to co-develop a new offer.</w:t>
      </w:r>
    </w:p>
    <w:p w14:paraId="330547E0" w14:textId="77777777" w:rsidR="001E6D8E" w:rsidRPr="009D7A02" w:rsidRDefault="001E6D8E" w:rsidP="001E6D8E">
      <w:pPr>
        <w:pStyle w:val="ListParagraph"/>
        <w:spacing w:line="276" w:lineRule="auto"/>
        <w:ind w:left="0" w:right="140"/>
        <w:rPr>
          <w:rFonts w:ascii="Inter" w:hAnsi="Inter" w:cs="Arial"/>
        </w:rPr>
      </w:pPr>
    </w:p>
    <w:p w14:paraId="4CD5F1E1" w14:textId="5538C804" w:rsidR="16FD5590" w:rsidRPr="009D7A02" w:rsidRDefault="16FD5590" w:rsidP="16FD5590">
      <w:pPr>
        <w:pStyle w:val="ListParagraph"/>
        <w:spacing w:line="276" w:lineRule="auto"/>
        <w:ind w:left="0" w:right="140"/>
        <w:rPr>
          <w:rFonts w:ascii="Inter" w:hAnsi="Inter" w:cs="Arial"/>
        </w:rPr>
      </w:pPr>
    </w:p>
    <w:p w14:paraId="45255B65" w14:textId="58AD1EA6" w:rsidR="00D06EAE" w:rsidRPr="009D7A02" w:rsidRDefault="001E6D8E" w:rsidP="00B77A90">
      <w:pPr>
        <w:pStyle w:val="ListParagraph"/>
        <w:spacing w:line="276" w:lineRule="auto"/>
        <w:ind w:left="0" w:right="140"/>
        <w:rPr>
          <w:rFonts w:ascii="Inter" w:hAnsi="Inter" w:cs="Arial"/>
          <w:b/>
        </w:rPr>
      </w:pPr>
      <w:r w:rsidRPr="009D7A02">
        <w:rPr>
          <w:rFonts w:ascii="Inter" w:hAnsi="Inter" w:cs="Arial"/>
          <w:b/>
          <w:bCs/>
        </w:rPr>
        <w:t>M</w:t>
      </w:r>
      <w:r w:rsidR="1DE60BFC" w:rsidRPr="009D7A02">
        <w:rPr>
          <w:rFonts w:ascii="Inter" w:hAnsi="Inter" w:cs="Arial"/>
          <w:b/>
          <w:bCs/>
        </w:rPr>
        <w:t xml:space="preserve">EDIUM </w:t>
      </w:r>
      <w:r w:rsidRPr="009D7A02">
        <w:rPr>
          <w:rFonts w:ascii="Inter" w:hAnsi="Inter" w:cs="Arial"/>
          <w:b/>
          <w:bCs/>
        </w:rPr>
        <w:t>T</w:t>
      </w:r>
      <w:r w:rsidR="093F4FA1" w:rsidRPr="009D7A02">
        <w:rPr>
          <w:rFonts w:ascii="Inter" w:hAnsi="Inter" w:cs="Arial"/>
          <w:b/>
          <w:bCs/>
        </w:rPr>
        <w:t xml:space="preserve">ERM </w:t>
      </w:r>
      <w:r w:rsidRPr="009D7A02">
        <w:rPr>
          <w:rFonts w:ascii="Inter" w:hAnsi="Inter" w:cs="Arial"/>
          <w:b/>
          <w:bCs/>
        </w:rPr>
        <w:t>F</w:t>
      </w:r>
      <w:r w:rsidR="573623DB" w:rsidRPr="009D7A02">
        <w:rPr>
          <w:rFonts w:ascii="Inter" w:hAnsi="Inter" w:cs="Arial"/>
          <w:b/>
          <w:bCs/>
        </w:rPr>
        <w:t xml:space="preserve">INANCIAL </w:t>
      </w:r>
      <w:r w:rsidRPr="009D7A02">
        <w:rPr>
          <w:rFonts w:ascii="Inter" w:hAnsi="Inter" w:cs="Arial"/>
          <w:b/>
          <w:bCs/>
        </w:rPr>
        <w:t>P</w:t>
      </w:r>
      <w:r w:rsidR="3809D25C" w:rsidRPr="009D7A02">
        <w:rPr>
          <w:rFonts w:ascii="Inter" w:hAnsi="Inter" w:cs="Arial"/>
          <w:b/>
          <w:bCs/>
        </w:rPr>
        <w:t>LAN</w:t>
      </w:r>
    </w:p>
    <w:p w14:paraId="2BC779D3" w14:textId="681F5C79" w:rsidR="4C27FCBC" w:rsidRPr="009D7A02" w:rsidRDefault="4C27FCBC" w:rsidP="4C27FCBC">
      <w:pPr>
        <w:pStyle w:val="ListParagraph"/>
        <w:spacing w:line="276" w:lineRule="auto"/>
        <w:ind w:left="0" w:right="140"/>
        <w:rPr>
          <w:rFonts w:ascii="Inter" w:hAnsi="Inter" w:cs="Arial"/>
          <w:b/>
          <w:bCs/>
        </w:rPr>
      </w:pPr>
    </w:p>
    <w:p w14:paraId="4810FF71" w14:textId="77777777" w:rsidR="001E6D8E" w:rsidRPr="009D7A02" w:rsidRDefault="001E6D8E" w:rsidP="00AD4EE9">
      <w:pPr>
        <w:pStyle w:val="ListParagraph"/>
        <w:numPr>
          <w:ilvl w:val="0"/>
          <w:numId w:val="10"/>
        </w:numPr>
        <w:spacing w:line="276" w:lineRule="auto"/>
        <w:ind w:left="567" w:right="140" w:hanging="567"/>
        <w:rPr>
          <w:rFonts w:ascii="Inter" w:hAnsi="Inter" w:cs="Arial"/>
          <w:szCs w:val="22"/>
        </w:rPr>
      </w:pPr>
      <w:r w:rsidRPr="009D7A02">
        <w:rPr>
          <w:rFonts w:ascii="Inter" w:hAnsi="Inter" w:cs="Arial"/>
          <w:szCs w:val="22"/>
        </w:rPr>
        <w:t>The Medium-Term Financial Plan (MTFP) sets out the Authority’s high-level approach to financial planning and the management of its financial resources to underpin its continued financial sustainability.  This also ensures that financial resources are aligned with the Authority’s Strategic plans and therefore should be considered in line with the Investment Plan.</w:t>
      </w:r>
    </w:p>
    <w:p w14:paraId="4F24793A" w14:textId="77777777" w:rsidR="001E6D8E" w:rsidRPr="009D7A02" w:rsidRDefault="001E6D8E" w:rsidP="00267B7A">
      <w:pPr>
        <w:pStyle w:val="ListParagraph"/>
        <w:spacing w:line="276" w:lineRule="auto"/>
        <w:ind w:left="567" w:right="140" w:hanging="567"/>
        <w:rPr>
          <w:rFonts w:ascii="Inter" w:hAnsi="Inter" w:cs="Arial"/>
          <w:szCs w:val="22"/>
        </w:rPr>
      </w:pPr>
    </w:p>
    <w:p w14:paraId="454B847B" w14:textId="77777777"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The MTFP should highlight all matters affecting its financial position and sustainability over the medium term as well as consider strategic objectives and constraints in finances which may impact on decision making.</w:t>
      </w:r>
    </w:p>
    <w:p w14:paraId="7D26376D" w14:textId="77777777" w:rsidR="001E6D8E" w:rsidRPr="009D7A02" w:rsidRDefault="001E6D8E" w:rsidP="00267B7A">
      <w:pPr>
        <w:pStyle w:val="ListParagraph"/>
        <w:spacing w:line="276" w:lineRule="auto"/>
        <w:ind w:left="567" w:right="140" w:hanging="567"/>
        <w:rPr>
          <w:rFonts w:ascii="Inter" w:hAnsi="Inter" w:cs="Arial"/>
        </w:rPr>
      </w:pPr>
    </w:p>
    <w:p w14:paraId="3E293B25" w14:textId="7324D683" w:rsidR="001E6D8E" w:rsidRPr="009D7A02"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Annual budgets, by definition, are short</w:t>
      </w:r>
      <w:r w:rsidR="00541C1A">
        <w:rPr>
          <w:rFonts w:ascii="Inter" w:hAnsi="Inter" w:cs="Arial"/>
        </w:rPr>
        <w:t>-</w:t>
      </w:r>
      <w:r w:rsidRPr="009D7A02">
        <w:rPr>
          <w:rFonts w:ascii="Inter" w:hAnsi="Inter" w:cs="Arial"/>
        </w:rPr>
        <w:t>term in nature and so the MTFP provides financial forecasts over the medium term but the further out these forecasts project, the greater the uncertainty with the financial estimates due to the number of factors which are beyond the Authority’s direct control.</w:t>
      </w:r>
    </w:p>
    <w:p w14:paraId="4ECEDFAB" w14:textId="77777777" w:rsidR="001E6D8E" w:rsidRPr="009D7A02" w:rsidRDefault="001E6D8E" w:rsidP="00267B7A">
      <w:pPr>
        <w:pStyle w:val="ListParagraph"/>
        <w:spacing w:line="276" w:lineRule="auto"/>
        <w:ind w:left="567" w:right="140" w:hanging="567"/>
        <w:rPr>
          <w:rFonts w:ascii="Inter" w:hAnsi="Inter" w:cs="Arial"/>
        </w:rPr>
      </w:pPr>
    </w:p>
    <w:p w14:paraId="71678C2B" w14:textId="77777777" w:rsidR="001E6D8E" w:rsidRDefault="001E6D8E" w:rsidP="00AD4EE9">
      <w:pPr>
        <w:pStyle w:val="ListParagraph"/>
        <w:numPr>
          <w:ilvl w:val="0"/>
          <w:numId w:val="10"/>
        </w:numPr>
        <w:spacing w:line="276" w:lineRule="auto"/>
        <w:ind w:left="567" w:right="140" w:hanging="567"/>
        <w:rPr>
          <w:rFonts w:ascii="Inter" w:hAnsi="Inter" w:cs="Arial"/>
        </w:rPr>
      </w:pPr>
      <w:r w:rsidRPr="009D7A02">
        <w:rPr>
          <w:rFonts w:ascii="Inter" w:hAnsi="Inter" w:cs="Arial"/>
        </w:rPr>
        <w:t>Due to the inherent risk and uncertainty, the Authority’s financial strategy should also include sensitivity analysis whereby the impact of changes to the key variables e.g. funding is assessed. This scenario testing allows Cabinet to consider the financial impact of different scenarios.  This will be provided for in the final budget.</w:t>
      </w:r>
    </w:p>
    <w:p w14:paraId="50F8B635" w14:textId="77777777" w:rsidR="00E350A6" w:rsidRPr="00E350A6" w:rsidRDefault="00E350A6" w:rsidP="00E350A6">
      <w:pPr>
        <w:pStyle w:val="ListParagraph"/>
        <w:rPr>
          <w:rFonts w:ascii="Inter" w:hAnsi="Inter" w:cs="Arial"/>
        </w:rPr>
      </w:pPr>
    </w:p>
    <w:p w14:paraId="541D4102" w14:textId="796C5B59" w:rsidR="00E35FDD" w:rsidRPr="008865E7" w:rsidRDefault="00E350A6" w:rsidP="00AD4EE9">
      <w:pPr>
        <w:pStyle w:val="ListParagraph"/>
        <w:numPr>
          <w:ilvl w:val="0"/>
          <w:numId w:val="10"/>
        </w:numPr>
        <w:spacing w:line="276" w:lineRule="auto"/>
        <w:ind w:left="567" w:right="140" w:hanging="567"/>
        <w:rPr>
          <w:rFonts w:ascii="Inter" w:hAnsi="Inter" w:cs="Arial"/>
          <w:b/>
          <w:bCs/>
        </w:rPr>
      </w:pPr>
      <w:r w:rsidRPr="2DFE4DF5">
        <w:rPr>
          <w:rFonts w:ascii="Inter" w:hAnsi="Inter" w:cs="Arial"/>
        </w:rPr>
        <w:t>Table 1</w:t>
      </w:r>
      <w:r w:rsidR="004F3D64" w:rsidRPr="2DFE4DF5">
        <w:rPr>
          <w:rFonts w:ascii="Inter" w:hAnsi="Inter" w:cs="Arial"/>
        </w:rPr>
        <w:t xml:space="preserve"> </w:t>
      </w:r>
      <w:r w:rsidR="00113A4F" w:rsidRPr="2DFE4DF5">
        <w:rPr>
          <w:rFonts w:ascii="Inter" w:hAnsi="Inter" w:cs="Arial"/>
        </w:rPr>
        <w:t>below presents TVCA’</w:t>
      </w:r>
      <w:r w:rsidR="003E7C30">
        <w:rPr>
          <w:rFonts w:ascii="Inter" w:hAnsi="Inter" w:cs="Arial"/>
        </w:rPr>
        <w:t>s</w:t>
      </w:r>
      <w:r w:rsidR="00113A4F" w:rsidRPr="2DFE4DF5">
        <w:rPr>
          <w:rFonts w:ascii="Inter" w:hAnsi="Inter" w:cs="Arial"/>
        </w:rPr>
        <w:t xml:space="preserve"> proposed 2026/27 revenue</w:t>
      </w:r>
      <w:r w:rsidR="7AAD65A2" w:rsidRPr="2DFE4DF5">
        <w:rPr>
          <w:rFonts w:ascii="Inter" w:hAnsi="Inter" w:cs="Arial"/>
        </w:rPr>
        <w:t xml:space="preserve"> budget</w:t>
      </w:r>
      <w:r w:rsidR="00113A4F" w:rsidRPr="2DFE4DF5">
        <w:rPr>
          <w:rFonts w:ascii="Inter" w:hAnsi="Inter" w:cs="Arial"/>
        </w:rPr>
        <w:t xml:space="preserve"> </w:t>
      </w:r>
      <w:r w:rsidR="000350FF" w:rsidRPr="2DFE4DF5">
        <w:rPr>
          <w:rFonts w:ascii="Inter" w:hAnsi="Inter" w:cs="Arial"/>
        </w:rPr>
        <w:t>and Revenue MTFP</w:t>
      </w:r>
      <w:r w:rsidR="00861C66">
        <w:rPr>
          <w:rFonts w:ascii="Inter" w:hAnsi="Inter" w:cs="Arial"/>
        </w:rPr>
        <w:t>.</w:t>
      </w:r>
    </w:p>
    <w:p w14:paraId="0FBC48AA" w14:textId="76B2A275" w:rsidR="3FC8AECE" w:rsidRDefault="3FC8AECE" w:rsidP="3FC8AECE">
      <w:pPr>
        <w:pStyle w:val="ListParagraph"/>
        <w:spacing w:line="276" w:lineRule="auto"/>
        <w:ind w:left="567" w:right="140" w:hanging="567"/>
        <w:rPr>
          <w:rFonts w:ascii="Inter" w:hAnsi="Inter" w:cs="Arial"/>
          <w:b/>
          <w:bCs/>
        </w:rPr>
      </w:pPr>
    </w:p>
    <w:p w14:paraId="7FE6E939" w14:textId="19A15BD0" w:rsidR="00D06EAE" w:rsidRPr="009D7A02" w:rsidRDefault="00D06EAE" w:rsidP="3FC8AECE">
      <w:pPr>
        <w:pStyle w:val="ListParagraph"/>
        <w:spacing w:line="276" w:lineRule="auto"/>
        <w:ind w:left="0"/>
        <w:jc w:val="center"/>
        <w:rPr>
          <w:rFonts w:ascii="Inter" w:hAnsi="Inter" w:cs="Arial"/>
          <w:b/>
        </w:rPr>
      </w:pPr>
      <w:r w:rsidRPr="009D7A02">
        <w:rPr>
          <w:rFonts w:ascii="Inter" w:hAnsi="Inter" w:cs="Arial"/>
          <w:b/>
          <w:bCs/>
        </w:rPr>
        <w:t xml:space="preserve">Table 1 </w:t>
      </w:r>
      <w:r w:rsidR="1E7423ED" w:rsidRPr="3FC8AECE">
        <w:rPr>
          <w:rFonts w:ascii="Inter" w:hAnsi="Inter" w:cs="Arial"/>
          <w:b/>
          <w:bCs/>
        </w:rPr>
        <w:t>–</w:t>
      </w:r>
      <w:r w:rsidRPr="009D7A02">
        <w:rPr>
          <w:rFonts w:ascii="Inter" w:hAnsi="Inter" w:cs="Arial"/>
          <w:b/>
          <w:bCs/>
        </w:rPr>
        <w:t xml:space="preserve"> TVCA </w:t>
      </w:r>
      <w:r w:rsidR="1E7423ED" w:rsidRPr="3FC8AECE">
        <w:rPr>
          <w:rFonts w:ascii="Inter" w:hAnsi="Inter" w:cs="Arial"/>
          <w:b/>
          <w:bCs/>
        </w:rPr>
        <w:t xml:space="preserve">and Mayoral </w:t>
      </w:r>
      <w:r w:rsidRPr="009D7A02">
        <w:rPr>
          <w:rFonts w:ascii="Inter" w:hAnsi="Inter" w:cs="Arial"/>
          <w:b/>
          <w:bCs/>
        </w:rPr>
        <w:t>MTFP 2026/27 to 2029/30</w:t>
      </w:r>
    </w:p>
    <w:p w14:paraId="082EABF4" w14:textId="77777777" w:rsidR="00D06EAE" w:rsidRPr="009D7A02" w:rsidRDefault="00D06EAE" w:rsidP="00D06EAE">
      <w:pPr>
        <w:pStyle w:val="ListParagraph"/>
        <w:spacing w:line="276" w:lineRule="auto"/>
        <w:ind w:left="0" w:right="7371"/>
        <w:rPr>
          <w:rFonts w:ascii="Inter" w:hAnsi="Inter" w:cs="Arial"/>
        </w:rPr>
      </w:pPr>
    </w:p>
    <w:tbl>
      <w:tblPr>
        <w:tblW w:w="10790" w:type="dxa"/>
        <w:tblInd w:w="-596" w:type="dxa"/>
        <w:tblLook w:val="04A0" w:firstRow="1" w:lastRow="0" w:firstColumn="1" w:lastColumn="0" w:noHBand="0" w:noVBand="1"/>
      </w:tblPr>
      <w:tblGrid>
        <w:gridCol w:w="1134"/>
        <w:gridCol w:w="5117"/>
        <w:gridCol w:w="1137"/>
        <w:gridCol w:w="1134"/>
        <w:gridCol w:w="1134"/>
        <w:gridCol w:w="1134"/>
      </w:tblGrid>
      <w:tr w:rsidR="008344E0" w:rsidRPr="008344E0" w14:paraId="61A23890" w14:textId="77777777" w:rsidTr="00A77FCF">
        <w:trPr>
          <w:trHeight w:val="790"/>
        </w:trPr>
        <w:tc>
          <w:tcPr>
            <w:tcW w:w="1134" w:type="dxa"/>
            <w:tcBorders>
              <w:top w:val="single" w:sz="12" w:space="0" w:color="auto"/>
              <w:left w:val="single" w:sz="12" w:space="0" w:color="auto"/>
              <w:bottom w:val="nil"/>
              <w:right w:val="single" w:sz="4" w:space="0" w:color="auto"/>
            </w:tcBorders>
            <w:shd w:val="clear" w:color="auto" w:fill="E8E8E8"/>
            <w:hideMark/>
          </w:tcPr>
          <w:p w14:paraId="7649726D"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lastRenderedPageBreak/>
              <w:t>Budget 2025/26</w:t>
            </w:r>
          </w:p>
        </w:tc>
        <w:tc>
          <w:tcPr>
            <w:tcW w:w="5117" w:type="dxa"/>
            <w:tcBorders>
              <w:top w:val="single" w:sz="12" w:space="0" w:color="auto"/>
              <w:left w:val="single" w:sz="12" w:space="0" w:color="auto"/>
              <w:bottom w:val="nil"/>
              <w:right w:val="single" w:sz="12" w:space="0" w:color="auto"/>
            </w:tcBorders>
            <w:shd w:val="clear" w:color="auto" w:fill="E8E8E8"/>
            <w:noWrap/>
            <w:hideMark/>
          </w:tcPr>
          <w:p w14:paraId="08C32637" w14:textId="77777777" w:rsidR="008344E0" w:rsidRPr="008344E0" w:rsidRDefault="008344E0" w:rsidP="3FC8AECE">
            <w:pPr>
              <w:jc w:val="center"/>
              <w:rPr>
                <w:rFonts w:eastAsia="Times New Roman" w:cs="Times New Roman"/>
                <w:b/>
                <w:bCs/>
                <w:sz w:val="20"/>
                <w:szCs w:val="20"/>
                <w:lang w:eastAsia="en-GB"/>
              </w:rPr>
            </w:pPr>
            <w:r w:rsidRPr="3FC8AECE">
              <w:rPr>
                <w:rFonts w:eastAsia="Times New Roman" w:cs="Times New Roman"/>
                <w:b/>
                <w:sz w:val="20"/>
                <w:szCs w:val="20"/>
                <w:lang w:eastAsia="en-GB"/>
              </w:rPr>
              <w:t>Directorates</w:t>
            </w:r>
          </w:p>
          <w:p w14:paraId="7AB7ABF1" w14:textId="77777777" w:rsidR="008344E0" w:rsidRPr="008344E0" w:rsidRDefault="008344E0" w:rsidP="000919B7">
            <w:pPr>
              <w:jc w:val="center"/>
              <w:rPr>
                <w:rFonts w:eastAsia="Times New Roman" w:cs="Times New Roman"/>
                <w:b/>
                <w:bCs/>
                <w:color w:val="000000"/>
                <w:kern w:val="0"/>
                <w:sz w:val="20"/>
                <w:szCs w:val="20"/>
                <w:lang w:eastAsia="en-GB"/>
                <w14:ligatures w14:val="none"/>
              </w:rPr>
            </w:pPr>
          </w:p>
        </w:tc>
        <w:tc>
          <w:tcPr>
            <w:tcW w:w="1137" w:type="dxa"/>
            <w:tcBorders>
              <w:top w:val="single" w:sz="12" w:space="0" w:color="auto"/>
              <w:left w:val="nil"/>
              <w:bottom w:val="nil"/>
              <w:right w:val="single" w:sz="12" w:space="0" w:color="auto"/>
            </w:tcBorders>
            <w:shd w:val="clear" w:color="auto" w:fill="E8E8E8"/>
            <w:hideMark/>
          </w:tcPr>
          <w:p w14:paraId="734C2F90"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Budget 2026/27</w:t>
            </w:r>
          </w:p>
        </w:tc>
        <w:tc>
          <w:tcPr>
            <w:tcW w:w="1134" w:type="dxa"/>
            <w:tcBorders>
              <w:top w:val="single" w:sz="12" w:space="0" w:color="auto"/>
              <w:left w:val="nil"/>
              <w:bottom w:val="nil"/>
              <w:right w:val="single" w:sz="12" w:space="0" w:color="auto"/>
            </w:tcBorders>
            <w:shd w:val="clear" w:color="auto" w:fill="E8E8E8"/>
            <w:hideMark/>
          </w:tcPr>
          <w:p w14:paraId="4CC9A09F"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Budget 2027/28</w:t>
            </w:r>
          </w:p>
        </w:tc>
        <w:tc>
          <w:tcPr>
            <w:tcW w:w="1134" w:type="dxa"/>
            <w:tcBorders>
              <w:top w:val="single" w:sz="12" w:space="0" w:color="auto"/>
              <w:left w:val="nil"/>
              <w:bottom w:val="nil"/>
              <w:right w:val="single" w:sz="12" w:space="0" w:color="auto"/>
            </w:tcBorders>
            <w:shd w:val="clear" w:color="auto" w:fill="E8E8E8"/>
            <w:hideMark/>
          </w:tcPr>
          <w:p w14:paraId="6E23D098"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Budget 2028/29</w:t>
            </w:r>
          </w:p>
        </w:tc>
        <w:tc>
          <w:tcPr>
            <w:tcW w:w="1134" w:type="dxa"/>
            <w:tcBorders>
              <w:top w:val="single" w:sz="12" w:space="0" w:color="auto"/>
              <w:left w:val="nil"/>
              <w:bottom w:val="nil"/>
              <w:right w:val="single" w:sz="12" w:space="0" w:color="auto"/>
            </w:tcBorders>
            <w:shd w:val="clear" w:color="auto" w:fill="E8E8E8"/>
            <w:hideMark/>
          </w:tcPr>
          <w:p w14:paraId="6F065971"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Budget 2029/30</w:t>
            </w:r>
          </w:p>
        </w:tc>
      </w:tr>
      <w:tr w:rsidR="008344E0" w:rsidRPr="008344E0" w14:paraId="365735E4" w14:textId="77777777" w:rsidTr="005B6E92">
        <w:trPr>
          <w:trHeight w:val="316"/>
        </w:trPr>
        <w:tc>
          <w:tcPr>
            <w:tcW w:w="1134" w:type="dxa"/>
            <w:tcBorders>
              <w:top w:val="nil"/>
              <w:left w:val="single" w:sz="12" w:space="0" w:color="auto"/>
              <w:bottom w:val="single" w:sz="12" w:space="0" w:color="auto"/>
              <w:right w:val="single" w:sz="4" w:space="0" w:color="auto"/>
            </w:tcBorders>
            <w:shd w:val="clear" w:color="auto" w:fill="E8E8E8"/>
            <w:noWrap/>
            <w:hideMark/>
          </w:tcPr>
          <w:p w14:paraId="2760D789"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£'000</w:t>
            </w:r>
          </w:p>
        </w:tc>
        <w:tc>
          <w:tcPr>
            <w:tcW w:w="5117" w:type="dxa"/>
            <w:tcBorders>
              <w:top w:val="nil"/>
              <w:left w:val="single" w:sz="12" w:space="0" w:color="auto"/>
              <w:bottom w:val="single" w:sz="12" w:space="0" w:color="auto"/>
              <w:right w:val="single" w:sz="12" w:space="0" w:color="auto"/>
            </w:tcBorders>
            <w:shd w:val="clear" w:color="auto" w:fill="E8E8E8"/>
            <w:noWrap/>
            <w:hideMark/>
          </w:tcPr>
          <w:p w14:paraId="493979D6" w14:textId="45694384" w:rsidR="008344E0" w:rsidRPr="008344E0" w:rsidRDefault="008344E0" w:rsidP="000919B7">
            <w:pPr>
              <w:jc w:val="center"/>
              <w:rPr>
                <w:rFonts w:eastAsia="Times New Roman" w:cs="Times New Roman"/>
                <w:b/>
                <w:bCs/>
                <w:color w:val="000000"/>
                <w:kern w:val="0"/>
                <w:sz w:val="20"/>
                <w:szCs w:val="20"/>
                <w:lang w:eastAsia="en-GB"/>
                <w14:ligatures w14:val="none"/>
              </w:rPr>
            </w:pPr>
          </w:p>
        </w:tc>
        <w:tc>
          <w:tcPr>
            <w:tcW w:w="1137" w:type="dxa"/>
            <w:tcBorders>
              <w:top w:val="nil"/>
              <w:left w:val="nil"/>
              <w:bottom w:val="single" w:sz="12" w:space="0" w:color="auto"/>
              <w:right w:val="single" w:sz="12" w:space="0" w:color="auto"/>
            </w:tcBorders>
            <w:shd w:val="clear" w:color="auto" w:fill="E8E8E8"/>
            <w:noWrap/>
            <w:hideMark/>
          </w:tcPr>
          <w:p w14:paraId="3D03E321"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£'000</w:t>
            </w:r>
          </w:p>
        </w:tc>
        <w:tc>
          <w:tcPr>
            <w:tcW w:w="1134" w:type="dxa"/>
            <w:tcBorders>
              <w:top w:val="nil"/>
              <w:left w:val="nil"/>
              <w:bottom w:val="single" w:sz="12" w:space="0" w:color="auto"/>
              <w:right w:val="single" w:sz="12" w:space="0" w:color="auto"/>
            </w:tcBorders>
            <w:shd w:val="clear" w:color="auto" w:fill="E8E8E8"/>
            <w:noWrap/>
            <w:hideMark/>
          </w:tcPr>
          <w:p w14:paraId="592D4167"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£'000</w:t>
            </w:r>
          </w:p>
        </w:tc>
        <w:tc>
          <w:tcPr>
            <w:tcW w:w="1134" w:type="dxa"/>
            <w:tcBorders>
              <w:top w:val="nil"/>
              <w:left w:val="nil"/>
              <w:bottom w:val="single" w:sz="12" w:space="0" w:color="auto"/>
              <w:right w:val="single" w:sz="12" w:space="0" w:color="auto"/>
            </w:tcBorders>
            <w:shd w:val="clear" w:color="auto" w:fill="E8E8E8"/>
            <w:noWrap/>
            <w:hideMark/>
          </w:tcPr>
          <w:p w14:paraId="3832F325"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£'000</w:t>
            </w:r>
          </w:p>
        </w:tc>
        <w:tc>
          <w:tcPr>
            <w:tcW w:w="1134" w:type="dxa"/>
            <w:tcBorders>
              <w:top w:val="nil"/>
              <w:left w:val="nil"/>
              <w:bottom w:val="single" w:sz="12" w:space="0" w:color="auto"/>
              <w:right w:val="single" w:sz="12" w:space="0" w:color="auto"/>
            </w:tcBorders>
            <w:shd w:val="clear" w:color="auto" w:fill="E8E8E8"/>
            <w:noWrap/>
            <w:hideMark/>
          </w:tcPr>
          <w:p w14:paraId="15A6AD68" w14:textId="77777777" w:rsidR="008344E0" w:rsidRPr="008344E0" w:rsidRDefault="008344E0" w:rsidP="000919B7">
            <w:pPr>
              <w:jc w:val="center"/>
              <w:rPr>
                <w:rFonts w:eastAsia="Times New Roman" w:cs="Times New Roman"/>
                <w:b/>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£'000</w:t>
            </w:r>
          </w:p>
        </w:tc>
      </w:tr>
      <w:tr w:rsidR="004127AB" w:rsidRPr="008344E0" w14:paraId="37B354AC"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4ABB2DC4" w14:textId="7738B47C"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(1,228)</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09D78C0D" w14:textId="2ACAB058"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Mayoral costs</w:t>
            </w:r>
          </w:p>
        </w:tc>
        <w:tc>
          <w:tcPr>
            <w:tcW w:w="1137" w:type="dxa"/>
            <w:tcBorders>
              <w:top w:val="nil"/>
              <w:left w:val="nil"/>
              <w:bottom w:val="single" w:sz="4" w:space="0" w:color="auto"/>
              <w:right w:val="single" w:sz="4" w:space="0" w:color="auto"/>
            </w:tcBorders>
            <w:noWrap/>
            <w:vAlign w:val="center"/>
            <w:hideMark/>
          </w:tcPr>
          <w:p w14:paraId="2D248C04" w14:textId="7A92F17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466</w:t>
            </w:r>
          </w:p>
        </w:tc>
        <w:tc>
          <w:tcPr>
            <w:tcW w:w="1134" w:type="dxa"/>
            <w:tcBorders>
              <w:top w:val="nil"/>
              <w:left w:val="single" w:sz="12" w:space="0" w:color="auto"/>
              <w:bottom w:val="single" w:sz="4" w:space="0" w:color="auto"/>
              <w:right w:val="single" w:sz="4" w:space="0" w:color="auto"/>
            </w:tcBorders>
            <w:noWrap/>
            <w:vAlign w:val="center"/>
            <w:hideMark/>
          </w:tcPr>
          <w:p w14:paraId="6E1C3F41" w14:textId="3FAA881E"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478</w:t>
            </w:r>
          </w:p>
        </w:tc>
        <w:tc>
          <w:tcPr>
            <w:tcW w:w="1134" w:type="dxa"/>
            <w:tcBorders>
              <w:top w:val="nil"/>
              <w:left w:val="single" w:sz="12" w:space="0" w:color="auto"/>
              <w:bottom w:val="single" w:sz="4" w:space="0" w:color="auto"/>
              <w:right w:val="single" w:sz="4" w:space="0" w:color="auto"/>
            </w:tcBorders>
            <w:noWrap/>
            <w:vAlign w:val="center"/>
            <w:hideMark/>
          </w:tcPr>
          <w:p w14:paraId="4CB39D98" w14:textId="6DD0A0C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490</w:t>
            </w:r>
          </w:p>
        </w:tc>
        <w:tc>
          <w:tcPr>
            <w:tcW w:w="1134" w:type="dxa"/>
            <w:tcBorders>
              <w:top w:val="nil"/>
              <w:left w:val="single" w:sz="12" w:space="0" w:color="auto"/>
              <w:bottom w:val="single" w:sz="4" w:space="0" w:color="auto"/>
              <w:right w:val="single" w:sz="12" w:space="0" w:color="auto"/>
            </w:tcBorders>
            <w:noWrap/>
            <w:vAlign w:val="center"/>
            <w:hideMark/>
          </w:tcPr>
          <w:p w14:paraId="21B1A929" w14:textId="1488E294"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503</w:t>
            </w:r>
          </w:p>
        </w:tc>
      </w:tr>
      <w:tr w:rsidR="004127AB" w:rsidRPr="008344E0" w14:paraId="7ED7009B" w14:textId="77777777">
        <w:trPr>
          <w:trHeight w:val="20"/>
        </w:trPr>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75C42EF6" w14:textId="67F79683"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(1,228)</w:t>
            </w:r>
          </w:p>
        </w:tc>
        <w:tc>
          <w:tcPr>
            <w:tcW w:w="511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024A8377" w14:textId="55BD2B94" w:rsidR="004127AB" w:rsidRPr="008344E0" w:rsidRDefault="004127AB" w:rsidP="004127AB">
            <w:pPr>
              <w:rPr>
                <w:rFonts w:eastAsia="Times New Roman" w:cs="Times New Roman"/>
                <w:b/>
                <w:bCs/>
                <w:color w:val="000000"/>
                <w:kern w:val="0"/>
                <w:sz w:val="20"/>
                <w:szCs w:val="20"/>
                <w:lang w:eastAsia="en-GB"/>
                <w14:ligatures w14:val="none"/>
              </w:rPr>
            </w:pPr>
            <w:r w:rsidRPr="008344E0">
              <w:rPr>
                <w:rFonts w:eastAsia="Times New Roman" w:cs="Times New Roman"/>
                <w:b/>
                <w:bCs/>
                <w:color w:val="000000"/>
                <w:kern w:val="0"/>
                <w:sz w:val="20"/>
                <w:szCs w:val="20"/>
                <w:lang w:eastAsia="en-GB"/>
                <w14:ligatures w14:val="none"/>
              </w:rPr>
              <w:t>Mayoral General Functions</w:t>
            </w:r>
          </w:p>
        </w:tc>
        <w:tc>
          <w:tcPr>
            <w:tcW w:w="1137" w:type="dxa"/>
            <w:tcBorders>
              <w:top w:val="single" w:sz="12" w:space="0" w:color="auto"/>
              <w:left w:val="nil"/>
              <w:bottom w:val="single" w:sz="12" w:space="0" w:color="auto"/>
              <w:right w:val="single" w:sz="4" w:space="0" w:color="auto"/>
            </w:tcBorders>
            <w:shd w:val="clear" w:color="auto" w:fill="E8E8E8"/>
            <w:noWrap/>
            <w:vAlign w:val="center"/>
            <w:hideMark/>
          </w:tcPr>
          <w:p w14:paraId="7FA21583" w14:textId="1890FB69"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466</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08204605" w14:textId="56A2352F"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478</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592AE8EF" w14:textId="4896B31C"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490</w:t>
            </w:r>
          </w:p>
        </w:tc>
        <w:tc>
          <w:tcPr>
            <w:tcW w:w="1134"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5E36FEBA" w14:textId="230528FF"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503</w:t>
            </w:r>
          </w:p>
        </w:tc>
      </w:tr>
      <w:tr w:rsidR="004127AB" w:rsidRPr="008344E0" w14:paraId="4FF52670" w14:textId="77777777">
        <w:trPr>
          <w:trHeight w:val="20"/>
        </w:trPr>
        <w:tc>
          <w:tcPr>
            <w:tcW w:w="1134" w:type="dxa"/>
            <w:tcBorders>
              <w:top w:val="single" w:sz="4" w:space="0" w:color="auto"/>
              <w:left w:val="single" w:sz="12" w:space="0" w:color="auto"/>
              <w:bottom w:val="single" w:sz="4" w:space="0" w:color="auto"/>
              <w:right w:val="single" w:sz="4" w:space="0" w:color="auto"/>
            </w:tcBorders>
            <w:noWrap/>
            <w:vAlign w:val="center"/>
            <w:hideMark/>
          </w:tcPr>
          <w:p w14:paraId="193F2EC0" w14:textId="6B239DAF"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731</w:t>
            </w:r>
          </w:p>
        </w:tc>
        <w:tc>
          <w:tcPr>
            <w:tcW w:w="5117"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27F139B8"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Chief Executive</w:t>
            </w:r>
          </w:p>
        </w:tc>
        <w:tc>
          <w:tcPr>
            <w:tcW w:w="1137" w:type="dxa"/>
            <w:tcBorders>
              <w:top w:val="single" w:sz="4" w:space="0" w:color="auto"/>
              <w:left w:val="nil"/>
              <w:bottom w:val="single" w:sz="4" w:space="0" w:color="auto"/>
              <w:right w:val="single" w:sz="4" w:space="0" w:color="auto"/>
            </w:tcBorders>
            <w:noWrap/>
            <w:vAlign w:val="center"/>
            <w:hideMark/>
          </w:tcPr>
          <w:p w14:paraId="6C4003A2" w14:textId="4B66E0FC"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1,355</w:t>
            </w:r>
          </w:p>
        </w:tc>
        <w:tc>
          <w:tcPr>
            <w:tcW w:w="1134" w:type="dxa"/>
            <w:tcBorders>
              <w:top w:val="single" w:sz="4" w:space="0" w:color="auto"/>
              <w:left w:val="single" w:sz="12" w:space="0" w:color="auto"/>
              <w:bottom w:val="single" w:sz="4" w:space="0" w:color="auto"/>
              <w:right w:val="single" w:sz="4" w:space="0" w:color="auto"/>
            </w:tcBorders>
            <w:noWrap/>
            <w:vAlign w:val="center"/>
            <w:hideMark/>
          </w:tcPr>
          <w:p w14:paraId="6ED85C1A" w14:textId="505A5A3A"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1,391</w:t>
            </w:r>
          </w:p>
        </w:tc>
        <w:tc>
          <w:tcPr>
            <w:tcW w:w="1134" w:type="dxa"/>
            <w:tcBorders>
              <w:top w:val="single" w:sz="4" w:space="0" w:color="auto"/>
              <w:left w:val="single" w:sz="12" w:space="0" w:color="auto"/>
              <w:bottom w:val="single" w:sz="4" w:space="0" w:color="auto"/>
              <w:right w:val="single" w:sz="4" w:space="0" w:color="auto"/>
            </w:tcBorders>
            <w:noWrap/>
            <w:vAlign w:val="center"/>
            <w:hideMark/>
          </w:tcPr>
          <w:p w14:paraId="7D525431" w14:textId="4D8A47E8"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1,427</w:t>
            </w:r>
          </w:p>
        </w:tc>
        <w:tc>
          <w:tcPr>
            <w:tcW w:w="1134" w:type="dxa"/>
            <w:tcBorders>
              <w:top w:val="single" w:sz="4" w:space="0" w:color="auto"/>
              <w:left w:val="single" w:sz="12" w:space="0" w:color="auto"/>
              <w:bottom w:val="single" w:sz="4" w:space="0" w:color="auto"/>
              <w:right w:val="single" w:sz="12" w:space="0" w:color="auto"/>
            </w:tcBorders>
            <w:noWrap/>
            <w:vAlign w:val="center"/>
            <w:hideMark/>
          </w:tcPr>
          <w:p w14:paraId="5A74DAA7" w14:textId="51AF59D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1,465</w:t>
            </w:r>
          </w:p>
        </w:tc>
      </w:tr>
      <w:tr w:rsidR="004127AB" w:rsidRPr="008344E0" w14:paraId="21A31E06"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0AD07480" w14:textId="69794470"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1,668</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7A1215DB"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Legal and Governance</w:t>
            </w:r>
          </w:p>
        </w:tc>
        <w:tc>
          <w:tcPr>
            <w:tcW w:w="1137" w:type="dxa"/>
            <w:tcBorders>
              <w:top w:val="nil"/>
              <w:left w:val="nil"/>
              <w:bottom w:val="single" w:sz="4" w:space="0" w:color="auto"/>
              <w:right w:val="single" w:sz="4" w:space="0" w:color="auto"/>
            </w:tcBorders>
            <w:noWrap/>
            <w:vAlign w:val="center"/>
            <w:hideMark/>
          </w:tcPr>
          <w:p w14:paraId="22DD7E14" w14:textId="41289112"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2,348</w:t>
            </w:r>
          </w:p>
        </w:tc>
        <w:tc>
          <w:tcPr>
            <w:tcW w:w="1134" w:type="dxa"/>
            <w:tcBorders>
              <w:top w:val="nil"/>
              <w:left w:val="single" w:sz="12" w:space="0" w:color="auto"/>
              <w:bottom w:val="single" w:sz="4" w:space="0" w:color="auto"/>
              <w:right w:val="single" w:sz="4" w:space="0" w:color="auto"/>
            </w:tcBorders>
            <w:noWrap/>
            <w:vAlign w:val="center"/>
            <w:hideMark/>
          </w:tcPr>
          <w:p w14:paraId="263A8123" w14:textId="65BC5D7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1,995</w:t>
            </w:r>
          </w:p>
        </w:tc>
        <w:tc>
          <w:tcPr>
            <w:tcW w:w="1134" w:type="dxa"/>
            <w:tcBorders>
              <w:top w:val="nil"/>
              <w:left w:val="single" w:sz="12" w:space="0" w:color="auto"/>
              <w:bottom w:val="single" w:sz="4" w:space="0" w:color="auto"/>
              <w:right w:val="single" w:sz="4" w:space="0" w:color="auto"/>
            </w:tcBorders>
            <w:noWrap/>
            <w:vAlign w:val="center"/>
            <w:hideMark/>
          </w:tcPr>
          <w:p w14:paraId="2D78D436" w14:textId="7FEDD82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2,043</w:t>
            </w:r>
          </w:p>
        </w:tc>
        <w:tc>
          <w:tcPr>
            <w:tcW w:w="1134" w:type="dxa"/>
            <w:tcBorders>
              <w:top w:val="nil"/>
              <w:left w:val="single" w:sz="12" w:space="0" w:color="auto"/>
              <w:bottom w:val="single" w:sz="4" w:space="0" w:color="auto"/>
              <w:right w:val="single" w:sz="12" w:space="0" w:color="auto"/>
            </w:tcBorders>
            <w:noWrap/>
            <w:vAlign w:val="center"/>
            <w:hideMark/>
          </w:tcPr>
          <w:p w14:paraId="0F71F3D0" w14:textId="6AC98075"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2,093</w:t>
            </w:r>
          </w:p>
        </w:tc>
      </w:tr>
      <w:tr w:rsidR="004127AB" w:rsidRPr="008344E0" w14:paraId="34821B9B"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09C38D25" w14:textId="49DB5609"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112</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2E0A8A6D"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Infrastructure</w:t>
            </w:r>
          </w:p>
        </w:tc>
        <w:tc>
          <w:tcPr>
            <w:tcW w:w="1137" w:type="dxa"/>
            <w:tcBorders>
              <w:top w:val="nil"/>
              <w:left w:val="nil"/>
              <w:bottom w:val="single" w:sz="4" w:space="0" w:color="auto"/>
              <w:right w:val="single" w:sz="4" w:space="0" w:color="auto"/>
            </w:tcBorders>
            <w:noWrap/>
            <w:vAlign w:val="center"/>
            <w:hideMark/>
          </w:tcPr>
          <w:p w14:paraId="656D4419" w14:textId="0F5465C9"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1,287</w:t>
            </w:r>
          </w:p>
        </w:tc>
        <w:tc>
          <w:tcPr>
            <w:tcW w:w="1134" w:type="dxa"/>
            <w:tcBorders>
              <w:top w:val="nil"/>
              <w:left w:val="single" w:sz="12" w:space="0" w:color="auto"/>
              <w:bottom w:val="single" w:sz="4" w:space="0" w:color="auto"/>
              <w:right w:val="single" w:sz="4" w:space="0" w:color="auto"/>
            </w:tcBorders>
            <w:noWrap/>
            <w:vAlign w:val="center"/>
            <w:hideMark/>
          </w:tcPr>
          <w:p w14:paraId="2BDA5E62" w14:textId="50C7D54E"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1,370</w:t>
            </w:r>
          </w:p>
        </w:tc>
        <w:tc>
          <w:tcPr>
            <w:tcW w:w="1134" w:type="dxa"/>
            <w:tcBorders>
              <w:top w:val="nil"/>
              <w:left w:val="single" w:sz="12" w:space="0" w:color="auto"/>
              <w:bottom w:val="single" w:sz="4" w:space="0" w:color="auto"/>
              <w:right w:val="single" w:sz="4" w:space="0" w:color="auto"/>
            </w:tcBorders>
            <w:noWrap/>
            <w:vAlign w:val="center"/>
            <w:hideMark/>
          </w:tcPr>
          <w:p w14:paraId="73638D45" w14:textId="713B442C"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1,456</w:t>
            </w:r>
          </w:p>
        </w:tc>
        <w:tc>
          <w:tcPr>
            <w:tcW w:w="1134" w:type="dxa"/>
            <w:tcBorders>
              <w:top w:val="nil"/>
              <w:left w:val="single" w:sz="12" w:space="0" w:color="auto"/>
              <w:bottom w:val="single" w:sz="4" w:space="0" w:color="auto"/>
              <w:right w:val="single" w:sz="12" w:space="0" w:color="auto"/>
            </w:tcBorders>
            <w:noWrap/>
            <w:vAlign w:val="center"/>
            <w:hideMark/>
          </w:tcPr>
          <w:p w14:paraId="4D2F8EB2" w14:textId="082B86E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1,544</w:t>
            </w:r>
          </w:p>
        </w:tc>
      </w:tr>
      <w:tr w:rsidR="004127AB" w:rsidRPr="008344E0" w14:paraId="3ACFEF27"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7E69D415" w14:textId="780FE530"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2,189</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3CFA3479"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Operations</w:t>
            </w:r>
          </w:p>
        </w:tc>
        <w:tc>
          <w:tcPr>
            <w:tcW w:w="1137" w:type="dxa"/>
            <w:tcBorders>
              <w:top w:val="nil"/>
              <w:left w:val="nil"/>
              <w:bottom w:val="single" w:sz="4" w:space="0" w:color="auto"/>
              <w:right w:val="single" w:sz="4" w:space="0" w:color="auto"/>
            </w:tcBorders>
            <w:noWrap/>
            <w:vAlign w:val="center"/>
            <w:hideMark/>
          </w:tcPr>
          <w:p w14:paraId="65BBCFC2" w14:textId="70435585"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3,165</w:t>
            </w:r>
          </w:p>
        </w:tc>
        <w:tc>
          <w:tcPr>
            <w:tcW w:w="1134" w:type="dxa"/>
            <w:tcBorders>
              <w:top w:val="nil"/>
              <w:left w:val="single" w:sz="12" w:space="0" w:color="auto"/>
              <w:bottom w:val="single" w:sz="4" w:space="0" w:color="auto"/>
              <w:right w:val="single" w:sz="4" w:space="0" w:color="auto"/>
            </w:tcBorders>
            <w:noWrap/>
            <w:vAlign w:val="center"/>
            <w:hideMark/>
          </w:tcPr>
          <w:p w14:paraId="711E4274" w14:textId="36D87702"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2,498</w:t>
            </w:r>
          </w:p>
        </w:tc>
        <w:tc>
          <w:tcPr>
            <w:tcW w:w="1134" w:type="dxa"/>
            <w:tcBorders>
              <w:top w:val="nil"/>
              <w:left w:val="single" w:sz="12" w:space="0" w:color="auto"/>
              <w:bottom w:val="single" w:sz="4" w:space="0" w:color="auto"/>
              <w:right w:val="single" w:sz="4" w:space="0" w:color="auto"/>
            </w:tcBorders>
            <w:noWrap/>
            <w:vAlign w:val="center"/>
            <w:hideMark/>
          </w:tcPr>
          <w:p w14:paraId="30E85B72" w14:textId="4C951B8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2,561</w:t>
            </w:r>
          </w:p>
        </w:tc>
        <w:tc>
          <w:tcPr>
            <w:tcW w:w="1134" w:type="dxa"/>
            <w:tcBorders>
              <w:top w:val="nil"/>
              <w:left w:val="single" w:sz="12" w:space="0" w:color="auto"/>
              <w:bottom w:val="single" w:sz="4" w:space="0" w:color="auto"/>
              <w:right w:val="single" w:sz="12" w:space="0" w:color="auto"/>
            </w:tcBorders>
            <w:noWrap/>
            <w:vAlign w:val="center"/>
            <w:hideMark/>
          </w:tcPr>
          <w:p w14:paraId="5D08EF44" w14:textId="48DAFB4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2,625</w:t>
            </w:r>
          </w:p>
        </w:tc>
      </w:tr>
      <w:tr w:rsidR="004127AB" w:rsidRPr="008344E0" w14:paraId="423EFBBD"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561670C6" w14:textId="48A9A93A"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(406)</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35F15251"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Finance and Resources</w:t>
            </w:r>
          </w:p>
        </w:tc>
        <w:tc>
          <w:tcPr>
            <w:tcW w:w="1137" w:type="dxa"/>
            <w:tcBorders>
              <w:top w:val="nil"/>
              <w:left w:val="nil"/>
              <w:bottom w:val="single" w:sz="4" w:space="0" w:color="auto"/>
              <w:right w:val="single" w:sz="4" w:space="0" w:color="auto"/>
            </w:tcBorders>
            <w:noWrap/>
            <w:vAlign w:val="center"/>
            <w:hideMark/>
          </w:tcPr>
          <w:p w14:paraId="05EFC6F8" w14:textId="78FA211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234</w:t>
            </w:r>
          </w:p>
        </w:tc>
        <w:tc>
          <w:tcPr>
            <w:tcW w:w="1134" w:type="dxa"/>
            <w:tcBorders>
              <w:top w:val="nil"/>
              <w:left w:val="single" w:sz="12" w:space="0" w:color="auto"/>
              <w:bottom w:val="single" w:sz="4" w:space="0" w:color="auto"/>
              <w:right w:val="single" w:sz="4" w:space="0" w:color="auto"/>
            </w:tcBorders>
            <w:noWrap/>
            <w:vAlign w:val="center"/>
            <w:hideMark/>
          </w:tcPr>
          <w:p w14:paraId="5AB0CDE4" w14:textId="2ED4389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(100)</w:t>
            </w:r>
          </w:p>
        </w:tc>
        <w:tc>
          <w:tcPr>
            <w:tcW w:w="1134" w:type="dxa"/>
            <w:tcBorders>
              <w:top w:val="nil"/>
              <w:left w:val="single" w:sz="12" w:space="0" w:color="auto"/>
              <w:bottom w:val="single" w:sz="4" w:space="0" w:color="auto"/>
              <w:right w:val="single" w:sz="4" w:space="0" w:color="auto"/>
            </w:tcBorders>
            <w:noWrap/>
            <w:vAlign w:val="center"/>
            <w:hideMark/>
          </w:tcPr>
          <w:p w14:paraId="4BD78DB4" w14:textId="1E8AB1A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(67)</w:t>
            </w:r>
          </w:p>
        </w:tc>
        <w:tc>
          <w:tcPr>
            <w:tcW w:w="1134" w:type="dxa"/>
            <w:tcBorders>
              <w:top w:val="nil"/>
              <w:left w:val="single" w:sz="12" w:space="0" w:color="auto"/>
              <w:bottom w:val="single" w:sz="4" w:space="0" w:color="auto"/>
              <w:right w:val="single" w:sz="12" w:space="0" w:color="auto"/>
            </w:tcBorders>
            <w:noWrap/>
            <w:vAlign w:val="center"/>
            <w:hideMark/>
          </w:tcPr>
          <w:p w14:paraId="2763FF1E" w14:textId="49CCFB4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(33)</w:t>
            </w:r>
          </w:p>
        </w:tc>
      </w:tr>
      <w:tr w:rsidR="004127AB" w:rsidRPr="008344E0" w14:paraId="5C4A26E9"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054C5356" w14:textId="75A8F85C"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11,006</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5C25BD44"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Business Solutions</w:t>
            </w:r>
          </w:p>
        </w:tc>
        <w:tc>
          <w:tcPr>
            <w:tcW w:w="1137" w:type="dxa"/>
            <w:tcBorders>
              <w:top w:val="nil"/>
              <w:left w:val="nil"/>
              <w:bottom w:val="single" w:sz="4" w:space="0" w:color="auto"/>
              <w:right w:val="single" w:sz="4" w:space="0" w:color="auto"/>
            </w:tcBorders>
            <w:noWrap/>
            <w:vAlign w:val="center"/>
            <w:hideMark/>
          </w:tcPr>
          <w:p w14:paraId="2EDACE4B" w14:textId="3AF8A27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3,010</w:t>
            </w:r>
          </w:p>
        </w:tc>
        <w:tc>
          <w:tcPr>
            <w:tcW w:w="1134" w:type="dxa"/>
            <w:tcBorders>
              <w:top w:val="nil"/>
              <w:left w:val="single" w:sz="12" w:space="0" w:color="auto"/>
              <w:bottom w:val="single" w:sz="4" w:space="0" w:color="auto"/>
              <w:right w:val="single" w:sz="4" w:space="0" w:color="auto"/>
            </w:tcBorders>
            <w:noWrap/>
            <w:vAlign w:val="center"/>
            <w:hideMark/>
          </w:tcPr>
          <w:p w14:paraId="1B28DF00" w14:textId="799D4EF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2,732</w:t>
            </w:r>
          </w:p>
        </w:tc>
        <w:tc>
          <w:tcPr>
            <w:tcW w:w="1134" w:type="dxa"/>
            <w:tcBorders>
              <w:top w:val="nil"/>
              <w:left w:val="single" w:sz="12" w:space="0" w:color="auto"/>
              <w:bottom w:val="single" w:sz="4" w:space="0" w:color="auto"/>
              <w:right w:val="single" w:sz="4" w:space="0" w:color="auto"/>
            </w:tcBorders>
            <w:noWrap/>
            <w:vAlign w:val="center"/>
            <w:hideMark/>
          </w:tcPr>
          <w:p w14:paraId="09FFCEFB" w14:textId="153ACA81"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2,805</w:t>
            </w:r>
          </w:p>
        </w:tc>
        <w:tc>
          <w:tcPr>
            <w:tcW w:w="1134" w:type="dxa"/>
            <w:tcBorders>
              <w:top w:val="nil"/>
              <w:left w:val="single" w:sz="12" w:space="0" w:color="auto"/>
              <w:bottom w:val="single" w:sz="4" w:space="0" w:color="auto"/>
              <w:right w:val="single" w:sz="12" w:space="0" w:color="auto"/>
            </w:tcBorders>
            <w:noWrap/>
            <w:vAlign w:val="center"/>
            <w:hideMark/>
          </w:tcPr>
          <w:p w14:paraId="35B42DB4" w14:textId="5DEEDAB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2,881</w:t>
            </w:r>
          </w:p>
        </w:tc>
      </w:tr>
      <w:tr w:rsidR="004127AB" w:rsidRPr="008344E0" w14:paraId="0ED30DB5"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23C38E4A" w14:textId="13D7E72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1,479</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203677F7"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Inward Investment and Marketing</w:t>
            </w:r>
          </w:p>
        </w:tc>
        <w:tc>
          <w:tcPr>
            <w:tcW w:w="1137" w:type="dxa"/>
            <w:tcBorders>
              <w:top w:val="nil"/>
              <w:left w:val="nil"/>
              <w:bottom w:val="single" w:sz="4" w:space="0" w:color="auto"/>
              <w:right w:val="single" w:sz="4" w:space="0" w:color="auto"/>
            </w:tcBorders>
            <w:noWrap/>
            <w:vAlign w:val="center"/>
            <w:hideMark/>
          </w:tcPr>
          <w:p w14:paraId="64A4F25B" w14:textId="404969D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1,375</w:t>
            </w:r>
          </w:p>
        </w:tc>
        <w:tc>
          <w:tcPr>
            <w:tcW w:w="1134" w:type="dxa"/>
            <w:tcBorders>
              <w:top w:val="nil"/>
              <w:left w:val="single" w:sz="12" w:space="0" w:color="auto"/>
              <w:bottom w:val="single" w:sz="4" w:space="0" w:color="auto"/>
              <w:right w:val="single" w:sz="4" w:space="0" w:color="auto"/>
            </w:tcBorders>
            <w:noWrap/>
            <w:vAlign w:val="center"/>
            <w:hideMark/>
          </w:tcPr>
          <w:p w14:paraId="26F26CAB" w14:textId="27D467BE"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1,393</w:t>
            </w:r>
          </w:p>
        </w:tc>
        <w:tc>
          <w:tcPr>
            <w:tcW w:w="1134" w:type="dxa"/>
            <w:tcBorders>
              <w:top w:val="nil"/>
              <w:left w:val="single" w:sz="12" w:space="0" w:color="auto"/>
              <w:bottom w:val="single" w:sz="4" w:space="0" w:color="auto"/>
              <w:right w:val="single" w:sz="4" w:space="0" w:color="auto"/>
            </w:tcBorders>
            <w:noWrap/>
            <w:vAlign w:val="center"/>
            <w:hideMark/>
          </w:tcPr>
          <w:p w14:paraId="3D3FAD45" w14:textId="53B8D30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1,412</w:t>
            </w:r>
          </w:p>
        </w:tc>
        <w:tc>
          <w:tcPr>
            <w:tcW w:w="1134" w:type="dxa"/>
            <w:tcBorders>
              <w:top w:val="nil"/>
              <w:left w:val="single" w:sz="12" w:space="0" w:color="auto"/>
              <w:bottom w:val="single" w:sz="4" w:space="0" w:color="auto"/>
              <w:right w:val="single" w:sz="12" w:space="0" w:color="auto"/>
            </w:tcBorders>
            <w:noWrap/>
            <w:vAlign w:val="center"/>
            <w:hideMark/>
          </w:tcPr>
          <w:p w14:paraId="4EE6FF0A" w14:textId="469681A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1,431</w:t>
            </w:r>
          </w:p>
        </w:tc>
      </w:tr>
      <w:tr w:rsidR="004127AB" w:rsidRPr="008344E0" w14:paraId="171C9C87"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553789E6" w14:textId="6F5A9E09"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4EB2180B" w14:textId="5EE8127C" w:rsidR="004127AB" w:rsidRPr="008344E0" w:rsidRDefault="004127AB" w:rsidP="004127AB">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Support Services Recharged to Grant Delivery</w:t>
            </w:r>
          </w:p>
        </w:tc>
        <w:tc>
          <w:tcPr>
            <w:tcW w:w="1137" w:type="dxa"/>
            <w:tcBorders>
              <w:top w:val="nil"/>
              <w:left w:val="nil"/>
              <w:bottom w:val="single" w:sz="4" w:space="0" w:color="auto"/>
              <w:right w:val="single" w:sz="4" w:space="0" w:color="auto"/>
            </w:tcBorders>
            <w:noWrap/>
            <w:vAlign w:val="center"/>
            <w:hideMark/>
          </w:tcPr>
          <w:p w14:paraId="21512F85" w14:textId="16F8306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(6,342)</w:t>
            </w:r>
          </w:p>
        </w:tc>
        <w:tc>
          <w:tcPr>
            <w:tcW w:w="1134" w:type="dxa"/>
            <w:tcBorders>
              <w:top w:val="nil"/>
              <w:left w:val="single" w:sz="12" w:space="0" w:color="auto"/>
              <w:bottom w:val="single" w:sz="4" w:space="0" w:color="auto"/>
              <w:right w:val="single" w:sz="4" w:space="0" w:color="auto"/>
            </w:tcBorders>
            <w:noWrap/>
            <w:vAlign w:val="center"/>
            <w:hideMark/>
          </w:tcPr>
          <w:p w14:paraId="4298CCC5" w14:textId="4A66496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(6,532)</w:t>
            </w:r>
          </w:p>
        </w:tc>
        <w:tc>
          <w:tcPr>
            <w:tcW w:w="1134" w:type="dxa"/>
            <w:tcBorders>
              <w:top w:val="nil"/>
              <w:left w:val="single" w:sz="12" w:space="0" w:color="auto"/>
              <w:bottom w:val="single" w:sz="4" w:space="0" w:color="auto"/>
              <w:right w:val="single" w:sz="4" w:space="0" w:color="auto"/>
            </w:tcBorders>
            <w:noWrap/>
            <w:vAlign w:val="center"/>
            <w:hideMark/>
          </w:tcPr>
          <w:p w14:paraId="7AF47808" w14:textId="511B71D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(6,663)</w:t>
            </w:r>
          </w:p>
        </w:tc>
        <w:tc>
          <w:tcPr>
            <w:tcW w:w="1134" w:type="dxa"/>
            <w:tcBorders>
              <w:top w:val="nil"/>
              <w:left w:val="single" w:sz="12" w:space="0" w:color="auto"/>
              <w:bottom w:val="single" w:sz="4" w:space="0" w:color="auto"/>
              <w:right w:val="single" w:sz="12" w:space="0" w:color="auto"/>
            </w:tcBorders>
            <w:noWrap/>
            <w:vAlign w:val="center"/>
            <w:hideMark/>
          </w:tcPr>
          <w:p w14:paraId="0FADBC47" w14:textId="24EA9155"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(6,796)</w:t>
            </w:r>
          </w:p>
        </w:tc>
      </w:tr>
      <w:tr w:rsidR="004127AB" w:rsidRPr="008344E0" w14:paraId="61A911FC" w14:textId="77777777" w:rsidTr="00C16E26">
        <w:trPr>
          <w:trHeight w:val="20"/>
        </w:trPr>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3FADAB61" w14:textId="476E55A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16,779</w:t>
            </w:r>
          </w:p>
        </w:tc>
        <w:tc>
          <w:tcPr>
            <w:tcW w:w="511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049474E5" w14:textId="77777777" w:rsidR="004127AB" w:rsidRPr="008344E0" w:rsidRDefault="004127AB" w:rsidP="004127AB">
            <w:pPr>
              <w:rPr>
                <w:rFonts w:eastAsia="Times New Roman" w:cs="Times New Roman"/>
                <w:b/>
                <w:bCs/>
                <w:color w:val="000000"/>
                <w:kern w:val="0"/>
                <w:sz w:val="20"/>
                <w:szCs w:val="20"/>
                <w:lang w:eastAsia="en-GB"/>
                <w14:ligatures w14:val="none"/>
              </w:rPr>
            </w:pPr>
            <w:r w:rsidRPr="008344E0">
              <w:rPr>
                <w:rFonts w:eastAsia="Times New Roman" w:cs="Times New Roman"/>
                <w:b/>
                <w:bCs/>
                <w:color w:val="000000"/>
                <w:kern w:val="0"/>
                <w:sz w:val="20"/>
                <w:szCs w:val="20"/>
                <w:lang w:eastAsia="en-GB"/>
                <w14:ligatures w14:val="none"/>
              </w:rPr>
              <w:t>Directorates Total</w:t>
            </w:r>
          </w:p>
        </w:tc>
        <w:tc>
          <w:tcPr>
            <w:tcW w:w="1137" w:type="dxa"/>
            <w:tcBorders>
              <w:top w:val="single" w:sz="12" w:space="0" w:color="auto"/>
              <w:left w:val="nil"/>
              <w:bottom w:val="single" w:sz="12" w:space="0" w:color="auto"/>
              <w:right w:val="single" w:sz="4" w:space="0" w:color="auto"/>
            </w:tcBorders>
            <w:shd w:val="clear" w:color="auto" w:fill="E8E8E8"/>
            <w:noWrap/>
            <w:vAlign w:val="center"/>
            <w:hideMark/>
          </w:tcPr>
          <w:p w14:paraId="4E5521B3" w14:textId="240B9FF4"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6,432</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32FAA5D2" w14:textId="7C33EFA5"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4,747</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54B8424E" w14:textId="5B6FD7F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4,974</w:t>
            </w:r>
          </w:p>
        </w:tc>
        <w:tc>
          <w:tcPr>
            <w:tcW w:w="1134"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3BD47C15" w14:textId="171BD791"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5,210</w:t>
            </w:r>
          </w:p>
        </w:tc>
      </w:tr>
      <w:tr w:rsidR="004127AB" w:rsidRPr="008344E0" w14:paraId="011E06D9" w14:textId="77777777" w:rsidTr="00A77FCF">
        <w:trPr>
          <w:trHeight w:val="300"/>
        </w:trPr>
        <w:tc>
          <w:tcPr>
            <w:tcW w:w="1134" w:type="dxa"/>
            <w:tcBorders>
              <w:top w:val="single" w:sz="4" w:space="0" w:color="auto"/>
              <w:left w:val="single" w:sz="12" w:space="0" w:color="auto"/>
              <w:bottom w:val="single" w:sz="4" w:space="0" w:color="auto"/>
              <w:right w:val="single" w:sz="4" w:space="0" w:color="auto"/>
            </w:tcBorders>
            <w:noWrap/>
            <w:vAlign w:val="center"/>
            <w:hideMark/>
          </w:tcPr>
          <w:p w14:paraId="2E23E104" w14:textId="7BA2FF58" w:rsidR="004127AB" w:rsidRPr="008344E0" w:rsidRDefault="004127AB" w:rsidP="004127AB">
            <w:pPr>
              <w:jc w:val="right"/>
              <w:rPr>
                <w:rFonts w:eastAsia="Times New Roman" w:cs="Times New Roman"/>
                <w:color w:val="000000"/>
                <w:kern w:val="0"/>
                <w:sz w:val="20"/>
                <w:szCs w:val="20"/>
                <w:lang w:eastAsia="en-GB"/>
                <w14:ligatures w14:val="none"/>
              </w:rPr>
            </w:pPr>
          </w:p>
        </w:tc>
        <w:tc>
          <w:tcPr>
            <w:tcW w:w="5117"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317C2295" w14:textId="77777777" w:rsidR="004127AB" w:rsidRPr="008344E0" w:rsidRDefault="004127AB" w:rsidP="004127AB">
            <w:pPr>
              <w:rPr>
                <w:rFonts w:eastAsia="Times New Roman" w:cs="Times New Roman"/>
                <w:color w:val="000000"/>
                <w:kern w:val="0"/>
                <w:sz w:val="20"/>
                <w:szCs w:val="20"/>
                <w:lang w:eastAsia="en-GB"/>
                <w14:ligatures w14:val="none"/>
              </w:rPr>
            </w:pPr>
            <w:r w:rsidRPr="3FC8AECE">
              <w:rPr>
                <w:rFonts w:eastAsia="Times New Roman" w:cs="Times New Roman"/>
                <w:b/>
                <w:color w:val="000000"/>
                <w:kern w:val="0"/>
                <w:sz w:val="20"/>
                <w:szCs w:val="20"/>
                <w:lang w:eastAsia="en-GB"/>
                <w14:ligatures w14:val="none"/>
              </w:rPr>
              <w:t>Central Expenses</w:t>
            </w:r>
          </w:p>
        </w:tc>
        <w:tc>
          <w:tcPr>
            <w:tcW w:w="1137" w:type="dxa"/>
            <w:tcBorders>
              <w:top w:val="single" w:sz="4" w:space="0" w:color="auto"/>
              <w:left w:val="nil"/>
              <w:bottom w:val="single" w:sz="4" w:space="0" w:color="auto"/>
              <w:right w:val="single" w:sz="4" w:space="0" w:color="auto"/>
            </w:tcBorders>
            <w:noWrap/>
            <w:vAlign w:val="bottom"/>
            <w:hideMark/>
          </w:tcPr>
          <w:p w14:paraId="02477697" w14:textId="2229A0C2" w:rsidR="004127AB" w:rsidRPr="008344E0" w:rsidRDefault="004127AB" w:rsidP="004127AB">
            <w:pPr>
              <w:jc w:val="right"/>
              <w:rPr>
                <w:color w:val="000000"/>
                <w:kern w:val="0"/>
                <w:sz w:val="20"/>
                <w:szCs w:val="20"/>
                <w:lang w:eastAsia="en-GB"/>
                <w14:ligatures w14:val="none"/>
              </w:rPr>
            </w:pPr>
          </w:p>
        </w:tc>
        <w:tc>
          <w:tcPr>
            <w:tcW w:w="1134" w:type="dxa"/>
            <w:tcBorders>
              <w:top w:val="single" w:sz="4" w:space="0" w:color="auto"/>
              <w:left w:val="single" w:sz="12" w:space="0" w:color="auto"/>
              <w:bottom w:val="single" w:sz="4" w:space="0" w:color="auto"/>
              <w:right w:val="single" w:sz="4" w:space="0" w:color="auto"/>
            </w:tcBorders>
            <w:noWrap/>
            <w:vAlign w:val="bottom"/>
            <w:hideMark/>
          </w:tcPr>
          <w:p w14:paraId="0A9D24C6" w14:textId="3208E61A" w:rsidR="004127AB" w:rsidRPr="008344E0" w:rsidRDefault="004127AB" w:rsidP="004127AB">
            <w:pPr>
              <w:jc w:val="right"/>
              <w:rPr>
                <w:color w:val="000000"/>
                <w:kern w:val="0"/>
                <w:sz w:val="20"/>
                <w:szCs w:val="20"/>
                <w:lang w:eastAsia="en-GB"/>
                <w14:ligatures w14:val="none"/>
              </w:rPr>
            </w:pPr>
          </w:p>
        </w:tc>
        <w:tc>
          <w:tcPr>
            <w:tcW w:w="1134" w:type="dxa"/>
            <w:tcBorders>
              <w:top w:val="single" w:sz="4" w:space="0" w:color="auto"/>
              <w:left w:val="single" w:sz="12" w:space="0" w:color="auto"/>
              <w:bottom w:val="single" w:sz="4" w:space="0" w:color="auto"/>
              <w:right w:val="single" w:sz="4" w:space="0" w:color="auto"/>
            </w:tcBorders>
            <w:noWrap/>
            <w:vAlign w:val="bottom"/>
            <w:hideMark/>
          </w:tcPr>
          <w:p w14:paraId="49986FF6" w14:textId="1A70530E" w:rsidR="004127AB" w:rsidRPr="008344E0" w:rsidRDefault="004127AB" w:rsidP="004127AB">
            <w:pPr>
              <w:jc w:val="right"/>
              <w:rPr>
                <w:color w:val="000000"/>
                <w:kern w:val="0"/>
                <w:sz w:val="20"/>
                <w:szCs w:val="20"/>
                <w:lang w:eastAsia="en-GB"/>
                <w14:ligatures w14:val="none"/>
              </w:rPr>
            </w:pPr>
          </w:p>
        </w:tc>
        <w:tc>
          <w:tcPr>
            <w:tcW w:w="1134" w:type="dxa"/>
            <w:tcBorders>
              <w:top w:val="single" w:sz="4" w:space="0" w:color="auto"/>
              <w:left w:val="single" w:sz="12" w:space="0" w:color="auto"/>
              <w:bottom w:val="single" w:sz="4" w:space="0" w:color="auto"/>
              <w:right w:val="single" w:sz="12" w:space="0" w:color="auto"/>
            </w:tcBorders>
            <w:noWrap/>
            <w:vAlign w:val="bottom"/>
            <w:hideMark/>
          </w:tcPr>
          <w:p w14:paraId="780C0B65" w14:textId="622F113B" w:rsidR="004127AB" w:rsidRPr="008344E0" w:rsidRDefault="004127AB" w:rsidP="004127AB">
            <w:pPr>
              <w:jc w:val="right"/>
              <w:rPr>
                <w:color w:val="000000"/>
                <w:kern w:val="0"/>
                <w:sz w:val="20"/>
                <w:szCs w:val="20"/>
                <w:lang w:eastAsia="en-GB"/>
                <w14:ligatures w14:val="none"/>
              </w:rPr>
            </w:pPr>
          </w:p>
        </w:tc>
      </w:tr>
      <w:tr w:rsidR="004127AB" w:rsidRPr="008344E0" w14:paraId="772EE475"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77F96EB2" w14:textId="52720B1A"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610</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3718A7E3"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TVCA Property Overhead Costs</w:t>
            </w:r>
          </w:p>
        </w:tc>
        <w:tc>
          <w:tcPr>
            <w:tcW w:w="1137" w:type="dxa"/>
            <w:tcBorders>
              <w:top w:val="nil"/>
              <w:left w:val="nil"/>
              <w:bottom w:val="single" w:sz="4" w:space="0" w:color="auto"/>
              <w:right w:val="single" w:sz="4" w:space="0" w:color="auto"/>
            </w:tcBorders>
            <w:noWrap/>
            <w:vAlign w:val="center"/>
            <w:hideMark/>
          </w:tcPr>
          <w:p w14:paraId="47ED9332" w14:textId="2A8D4D5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822</w:t>
            </w:r>
          </w:p>
        </w:tc>
        <w:tc>
          <w:tcPr>
            <w:tcW w:w="1134" w:type="dxa"/>
            <w:tcBorders>
              <w:top w:val="nil"/>
              <w:left w:val="single" w:sz="12" w:space="0" w:color="auto"/>
              <w:bottom w:val="single" w:sz="4" w:space="0" w:color="auto"/>
              <w:right w:val="single" w:sz="4" w:space="0" w:color="auto"/>
            </w:tcBorders>
            <w:noWrap/>
            <w:vAlign w:val="center"/>
            <w:hideMark/>
          </w:tcPr>
          <w:p w14:paraId="0034B5F1" w14:textId="52E0343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822</w:t>
            </w:r>
          </w:p>
        </w:tc>
        <w:tc>
          <w:tcPr>
            <w:tcW w:w="1134" w:type="dxa"/>
            <w:tcBorders>
              <w:top w:val="nil"/>
              <w:left w:val="single" w:sz="12" w:space="0" w:color="auto"/>
              <w:bottom w:val="single" w:sz="4" w:space="0" w:color="auto"/>
              <w:right w:val="single" w:sz="4" w:space="0" w:color="auto"/>
            </w:tcBorders>
            <w:noWrap/>
            <w:vAlign w:val="center"/>
            <w:hideMark/>
          </w:tcPr>
          <w:p w14:paraId="01348AB0" w14:textId="06F85C84"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822</w:t>
            </w:r>
          </w:p>
        </w:tc>
        <w:tc>
          <w:tcPr>
            <w:tcW w:w="1134" w:type="dxa"/>
            <w:tcBorders>
              <w:top w:val="nil"/>
              <w:left w:val="single" w:sz="12" w:space="0" w:color="auto"/>
              <w:bottom w:val="single" w:sz="4" w:space="0" w:color="auto"/>
              <w:right w:val="single" w:sz="12" w:space="0" w:color="auto"/>
            </w:tcBorders>
            <w:noWrap/>
            <w:vAlign w:val="center"/>
            <w:hideMark/>
          </w:tcPr>
          <w:p w14:paraId="57B934E4" w14:textId="05CB571A"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822</w:t>
            </w:r>
          </w:p>
        </w:tc>
      </w:tr>
      <w:tr w:rsidR="004127AB" w:rsidRPr="008344E0" w14:paraId="67A1B5D4"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5CFF428E" w14:textId="24975A64"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19,518</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47A92AB6"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Interest Payable</w:t>
            </w:r>
          </w:p>
        </w:tc>
        <w:tc>
          <w:tcPr>
            <w:tcW w:w="1137" w:type="dxa"/>
            <w:tcBorders>
              <w:top w:val="nil"/>
              <w:left w:val="nil"/>
              <w:bottom w:val="single" w:sz="4" w:space="0" w:color="auto"/>
              <w:right w:val="single" w:sz="4" w:space="0" w:color="auto"/>
            </w:tcBorders>
            <w:noWrap/>
            <w:vAlign w:val="center"/>
            <w:hideMark/>
          </w:tcPr>
          <w:p w14:paraId="3FD85BE3" w14:textId="67D4CCF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25,851</w:t>
            </w:r>
          </w:p>
        </w:tc>
        <w:tc>
          <w:tcPr>
            <w:tcW w:w="1134" w:type="dxa"/>
            <w:tcBorders>
              <w:top w:val="nil"/>
              <w:left w:val="single" w:sz="12" w:space="0" w:color="auto"/>
              <w:bottom w:val="single" w:sz="4" w:space="0" w:color="auto"/>
              <w:right w:val="single" w:sz="4" w:space="0" w:color="auto"/>
            </w:tcBorders>
            <w:noWrap/>
            <w:vAlign w:val="center"/>
            <w:hideMark/>
          </w:tcPr>
          <w:p w14:paraId="6A49F026" w14:textId="11A931EA"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25,935</w:t>
            </w:r>
          </w:p>
        </w:tc>
        <w:tc>
          <w:tcPr>
            <w:tcW w:w="1134" w:type="dxa"/>
            <w:tcBorders>
              <w:top w:val="nil"/>
              <w:left w:val="single" w:sz="12" w:space="0" w:color="auto"/>
              <w:bottom w:val="single" w:sz="4" w:space="0" w:color="auto"/>
              <w:right w:val="single" w:sz="4" w:space="0" w:color="auto"/>
            </w:tcBorders>
            <w:noWrap/>
            <w:vAlign w:val="center"/>
            <w:hideMark/>
          </w:tcPr>
          <w:p w14:paraId="318ED618" w14:textId="27A06CE2"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25,648</w:t>
            </w:r>
          </w:p>
        </w:tc>
        <w:tc>
          <w:tcPr>
            <w:tcW w:w="1134" w:type="dxa"/>
            <w:tcBorders>
              <w:top w:val="nil"/>
              <w:left w:val="single" w:sz="12" w:space="0" w:color="auto"/>
              <w:bottom w:val="single" w:sz="4" w:space="0" w:color="auto"/>
              <w:right w:val="single" w:sz="12" w:space="0" w:color="auto"/>
            </w:tcBorders>
            <w:noWrap/>
            <w:vAlign w:val="center"/>
            <w:hideMark/>
          </w:tcPr>
          <w:p w14:paraId="4FB82CF6" w14:textId="55D83DF1"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25,648</w:t>
            </w:r>
          </w:p>
        </w:tc>
      </w:tr>
      <w:tr w:rsidR="004127AB" w:rsidRPr="008344E0" w14:paraId="1B25E011"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41C96566" w14:textId="2F78E221"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(1,750)</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6643DCA9"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Interest Receivable Treasury Management</w:t>
            </w:r>
          </w:p>
        </w:tc>
        <w:tc>
          <w:tcPr>
            <w:tcW w:w="1137" w:type="dxa"/>
            <w:tcBorders>
              <w:top w:val="nil"/>
              <w:left w:val="nil"/>
              <w:bottom w:val="single" w:sz="4" w:space="0" w:color="auto"/>
              <w:right w:val="single" w:sz="4" w:space="0" w:color="auto"/>
            </w:tcBorders>
            <w:noWrap/>
            <w:vAlign w:val="center"/>
            <w:hideMark/>
          </w:tcPr>
          <w:p w14:paraId="54751ABB" w14:textId="63CD3644"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w:t>
            </w:r>
          </w:p>
        </w:tc>
        <w:tc>
          <w:tcPr>
            <w:tcW w:w="1134" w:type="dxa"/>
            <w:tcBorders>
              <w:top w:val="nil"/>
              <w:left w:val="single" w:sz="12" w:space="0" w:color="auto"/>
              <w:bottom w:val="single" w:sz="4" w:space="0" w:color="auto"/>
              <w:right w:val="single" w:sz="4" w:space="0" w:color="auto"/>
            </w:tcBorders>
            <w:noWrap/>
            <w:vAlign w:val="center"/>
            <w:hideMark/>
          </w:tcPr>
          <w:p w14:paraId="2B8F61E2" w14:textId="52A7C83C"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w:t>
            </w:r>
          </w:p>
        </w:tc>
        <w:tc>
          <w:tcPr>
            <w:tcW w:w="1134" w:type="dxa"/>
            <w:tcBorders>
              <w:top w:val="nil"/>
              <w:left w:val="single" w:sz="12" w:space="0" w:color="auto"/>
              <w:bottom w:val="single" w:sz="4" w:space="0" w:color="auto"/>
              <w:right w:val="single" w:sz="4" w:space="0" w:color="auto"/>
            </w:tcBorders>
            <w:noWrap/>
            <w:vAlign w:val="center"/>
            <w:hideMark/>
          </w:tcPr>
          <w:p w14:paraId="36AAEECC" w14:textId="09B9977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w:t>
            </w:r>
          </w:p>
        </w:tc>
        <w:tc>
          <w:tcPr>
            <w:tcW w:w="1134" w:type="dxa"/>
            <w:tcBorders>
              <w:top w:val="nil"/>
              <w:left w:val="single" w:sz="12" w:space="0" w:color="auto"/>
              <w:bottom w:val="single" w:sz="4" w:space="0" w:color="auto"/>
              <w:right w:val="single" w:sz="12" w:space="0" w:color="auto"/>
            </w:tcBorders>
            <w:noWrap/>
            <w:vAlign w:val="center"/>
            <w:hideMark/>
          </w:tcPr>
          <w:p w14:paraId="5697DDD4" w14:textId="2FF478C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w:t>
            </w:r>
          </w:p>
        </w:tc>
      </w:tr>
      <w:tr w:rsidR="004127AB" w:rsidRPr="008344E0" w14:paraId="4A725395"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17119BAF" w14:textId="34DCA678"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(12,063)</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198E4232" w14:textId="42CB6E74"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Interest Receivable (Lending)</w:t>
            </w:r>
          </w:p>
        </w:tc>
        <w:tc>
          <w:tcPr>
            <w:tcW w:w="1137" w:type="dxa"/>
            <w:tcBorders>
              <w:top w:val="nil"/>
              <w:left w:val="nil"/>
              <w:bottom w:val="single" w:sz="4" w:space="0" w:color="auto"/>
              <w:right w:val="single" w:sz="4" w:space="0" w:color="auto"/>
            </w:tcBorders>
            <w:noWrap/>
            <w:vAlign w:val="center"/>
            <w:hideMark/>
          </w:tcPr>
          <w:p w14:paraId="018E45CB" w14:textId="50C9A41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(20,678)</w:t>
            </w:r>
          </w:p>
        </w:tc>
        <w:tc>
          <w:tcPr>
            <w:tcW w:w="1134" w:type="dxa"/>
            <w:tcBorders>
              <w:top w:val="nil"/>
              <w:left w:val="single" w:sz="12" w:space="0" w:color="auto"/>
              <w:bottom w:val="single" w:sz="4" w:space="0" w:color="auto"/>
              <w:right w:val="single" w:sz="4" w:space="0" w:color="auto"/>
            </w:tcBorders>
            <w:noWrap/>
            <w:vAlign w:val="center"/>
            <w:hideMark/>
          </w:tcPr>
          <w:p w14:paraId="4A18371D" w14:textId="62A8B24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(21,422)</w:t>
            </w:r>
          </w:p>
        </w:tc>
        <w:tc>
          <w:tcPr>
            <w:tcW w:w="1134" w:type="dxa"/>
            <w:tcBorders>
              <w:top w:val="nil"/>
              <w:left w:val="single" w:sz="12" w:space="0" w:color="auto"/>
              <w:bottom w:val="single" w:sz="4" w:space="0" w:color="auto"/>
              <w:right w:val="single" w:sz="4" w:space="0" w:color="auto"/>
            </w:tcBorders>
            <w:noWrap/>
            <w:vAlign w:val="center"/>
            <w:hideMark/>
          </w:tcPr>
          <w:p w14:paraId="1E07407C" w14:textId="7CCB9F1C"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(22,080)</w:t>
            </w:r>
          </w:p>
        </w:tc>
        <w:tc>
          <w:tcPr>
            <w:tcW w:w="1134" w:type="dxa"/>
            <w:tcBorders>
              <w:top w:val="nil"/>
              <w:left w:val="single" w:sz="12" w:space="0" w:color="auto"/>
              <w:bottom w:val="single" w:sz="4" w:space="0" w:color="auto"/>
              <w:right w:val="single" w:sz="12" w:space="0" w:color="auto"/>
            </w:tcBorders>
            <w:noWrap/>
            <w:vAlign w:val="center"/>
            <w:hideMark/>
          </w:tcPr>
          <w:p w14:paraId="17419809" w14:textId="2AA3EF28"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(22,997)</w:t>
            </w:r>
          </w:p>
        </w:tc>
      </w:tr>
      <w:tr w:rsidR="004127AB" w:rsidRPr="008344E0" w14:paraId="43BF2154"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1EFD4B74" w14:textId="067BDCB4"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76447030"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Contribution to Bad and Doubtful Debt</w:t>
            </w:r>
          </w:p>
        </w:tc>
        <w:tc>
          <w:tcPr>
            <w:tcW w:w="1137" w:type="dxa"/>
            <w:tcBorders>
              <w:top w:val="nil"/>
              <w:left w:val="nil"/>
              <w:bottom w:val="single" w:sz="4" w:space="0" w:color="auto"/>
              <w:right w:val="single" w:sz="4" w:space="0" w:color="auto"/>
            </w:tcBorders>
            <w:noWrap/>
            <w:vAlign w:val="center"/>
            <w:hideMark/>
          </w:tcPr>
          <w:p w14:paraId="3A90D37B" w14:textId="7CDA98C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6,189</w:t>
            </w:r>
          </w:p>
        </w:tc>
        <w:tc>
          <w:tcPr>
            <w:tcW w:w="1134" w:type="dxa"/>
            <w:tcBorders>
              <w:top w:val="nil"/>
              <w:left w:val="single" w:sz="12" w:space="0" w:color="auto"/>
              <w:bottom w:val="single" w:sz="4" w:space="0" w:color="auto"/>
              <w:right w:val="single" w:sz="4" w:space="0" w:color="auto"/>
            </w:tcBorders>
            <w:noWrap/>
            <w:vAlign w:val="center"/>
            <w:hideMark/>
          </w:tcPr>
          <w:p w14:paraId="610DDAD7" w14:textId="11C1E071"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6,475</w:t>
            </w:r>
          </w:p>
        </w:tc>
        <w:tc>
          <w:tcPr>
            <w:tcW w:w="1134" w:type="dxa"/>
            <w:tcBorders>
              <w:top w:val="nil"/>
              <w:left w:val="single" w:sz="12" w:space="0" w:color="auto"/>
              <w:bottom w:val="single" w:sz="4" w:space="0" w:color="auto"/>
              <w:right w:val="single" w:sz="4" w:space="0" w:color="auto"/>
            </w:tcBorders>
            <w:noWrap/>
            <w:vAlign w:val="center"/>
            <w:hideMark/>
          </w:tcPr>
          <w:p w14:paraId="6B915D0B" w14:textId="758571DF"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6,734</w:t>
            </w:r>
          </w:p>
        </w:tc>
        <w:tc>
          <w:tcPr>
            <w:tcW w:w="1134" w:type="dxa"/>
            <w:tcBorders>
              <w:top w:val="nil"/>
              <w:left w:val="single" w:sz="12" w:space="0" w:color="auto"/>
              <w:bottom w:val="single" w:sz="4" w:space="0" w:color="auto"/>
              <w:right w:val="single" w:sz="12" w:space="0" w:color="auto"/>
            </w:tcBorders>
            <w:noWrap/>
            <w:vAlign w:val="center"/>
            <w:hideMark/>
          </w:tcPr>
          <w:p w14:paraId="42AB6143" w14:textId="268AEDA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7,048</w:t>
            </w:r>
          </w:p>
        </w:tc>
      </w:tr>
      <w:tr w:rsidR="004127AB" w:rsidRPr="008344E0" w14:paraId="726FCA31"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166E7321" w14:textId="2B0B9D70"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6,978</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264363C6"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MRP</w:t>
            </w:r>
          </w:p>
        </w:tc>
        <w:tc>
          <w:tcPr>
            <w:tcW w:w="1137" w:type="dxa"/>
            <w:tcBorders>
              <w:top w:val="nil"/>
              <w:left w:val="nil"/>
              <w:bottom w:val="single" w:sz="4" w:space="0" w:color="auto"/>
              <w:right w:val="single" w:sz="4" w:space="0" w:color="auto"/>
            </w:tcBorders>
            <w:noWrap/>
            <w:vAlign w:val="center"/>
            <w:hideMark/>
          </w:tcPr>
          <w:p w14:paraId="025771E8" w14:textId="61FC5722"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7,892</w:t>
            </w:r>
          </w:p>
        </w:tc>
        <w:tc>
          <w:tcPr>
            <w:tcW w:w="1134" w:type="dxa"/>
            <w:tcBorders>
              <w:top w:val="nil"/>
              <w:left w:val="single" w:sz="12" w:space="0" w:color="auto"/>
              <w:bottom w:val="single" w:sz="4" w:space="0" w:color="auto"/>
              <w:right w:val="single" w:sz="4" w:space="0" w:color="auto"/>
            </w:tcBorders>
            <w:noWrap/>
            <w:vAlign w:val="center"/>
            <w:hideMark/>
          </w:tcPr>
          <w:p w14:paraId="6FB995FD" w14:textId="6D095C2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8,464</w:t>
            </w:r>
          </w:p>
        </w:tc>
        <w:tc>
          <w:tcPr>
            <w:tcW w:w="1134" w:type="dxa"/>
            <w:tcBorders>
              <w:top w:val="nil"/>
              <w:left w:val="single" w:sz="12" w:space="0" w:color="auto"/>
              <w:bottom w:val="single" w:sz="4" w:space="0" w:color="auto"/>
              <w:right w:val="single" w:sz="4" w:space="0" w:color="auto"/>
            </w:tcBorders>
            <w:noWrap/>
            <w:vAlign w:val="center"/>
            <w:hideMark/>
          </w:tcPr>
          <w:p w14:paraId="3DBBFA68" w14:textId="0B8A5E6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8,792</w:t>
            </w:r>
          </w:p>
        </w:tc>
        <w:tc>
          <w:tcPr>
            <w:tcW w:w="1134" w:type="dxa"/>
            <w:tcBorders>
              <w:top w:val="nil"/>
              <w:left w:val="single" w:sz="12" w:space="0" w:color="auto"/>
              <w:bottom w:val="single" w:sz="4" w:space="0" w:color="auto"/>
              <w:right w:val="single" w:sz="12" w:space="0" w:color="auto"/>
            </w:tcBorders>
            <w:noWrap/>
            <w:vAlign w:val="center"/>
            <w:hideMark/>
          </w:tcPr>
          <w:p w14:paraId="6F823D1F" w14:textId="28FA5E9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9,128</w:t>
            </w:r>
          </w:p>
        </w:tc>
      </w:tr>
      <w:tr w:rsidR="004127AB" w:rsidRPr="008344E0" w14:paraId="106518C5"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45ACA46C" w14:textId="29DB9D46"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(39</w:t>
            </w:r>
            <w:r>
              <w:rPr>
                <w:rFonts w:eastAsia="Times New Roman" w:cs="Times New Roman"/>
                <w:color w:val="000000"/>
                <w:kern w:val="0"/>
                <w:sz w:val="20"/>
                <w:szCs w:val="20"/>
                <w:lang w:eastAsia="en-GB"/>
                <w14:ligatures w14:val="none"/>
              </w:rPr>
              <w:t>2</w:t>
            </w:r>
            <w:r w:rsidRPr="008344E0">
              <w:rPr>
                <w:rFonts w:eastAsia="Times New Roman" w:cs="Times New Roman"/>
                <w:color w:val="000000"/>
                <w:kern w:val="0"/>
                <w:sz w:val="20"/>
                <w:szCs w:val="20"/>
                <w:lang w:eastAsia="en-GB"/>
                <w14:ligatures w14:val="none"/>
              </w:rPr>
              <w:t>)</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0B2CAF5C"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Investment Properties (Net Return)</w:t>
            </w:r>
          </w:p>
        </w:tc>
        <w:tc>
          <w:tcPr>
            <w:tcW w:w="1137" w:type="dxa"/>
            <w:tcBorders>
              <w:top w:val="nil"/>
              <w:left w:val="nil"/>
              <w:bottom w:val="single" w:sz="4" w:space="0" w:color="auto"/>
              <w:right w:val="single" w:sz="4" w:space="0" w:color="auto"/>
            </w:tcBorders>
            <w:noWrap/>
            <w:vAlign w:val="center"/>
            <w:hideMark/>
          </w:tcPr>
          <w:p w14:paraId="4C501405" w14:textId="280A883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(445)</w:t>
            </w:r>
          </w:p>
        </w:tc>
        <w:tc>
          <w:tcPr>
            <w:tcW w:w="1134" w:type="dxa"/>
            <w:tcBorders>
              <w:top w:val="nil"/>
              <w:left w:val="single" w:sz="12" w:space="0" w:color="auto"/>
              <w:bottom w:val="single" w:sz="4" w:space="0" w:color="auto"/>
              <w:right w:val="single" w:sz="4" w:space="0" w:color="auto"/>
            </w:tcBorders>
            <w:noWrap/>
            <w:vAlign w:val="center"/>
            <w:hideMark/>
          </w:tcPr>
          <w:p w14:paraId="371CD51D" w14:textId="3719626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(444)</w:t>
            </w:r>
          </w:p>
        </w:tc>
        <w:tc>
          <w:tcPr>
            <w:tcW w:w="1134" w:type="dxa"/>
            <w:tcBorders>
              <w:top w:val="nil"/>
              <w:left w:val="single" w:sz="12" w:space="0" w:color="auto"/>
              <w:bottom w:val="single" w:sz="4" w:space="0" w:color="auto"/>
              <w:right w:val="single" w:sz="4" w:space="0" w:color="auto"/>
            </w:tcBorders>
            <w:noWrap/>
            <w:vAlign w:val="center"/>
            <w:hideMark/>
          </w:tcPr>
          <w:p w14:paraId="68289672" w14:textId="63E0E5E1"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(443)</w:t>
            </w:r>
          </w:p>
        </w:tc>
        <w:tc>
          <w:tcPr>
            <w:tcW w:w="1134" w:type="dxa"/>
            <w:tcBorders>
              <w:top w:val="nil"/>
              <w:left w:val="single" w:sz="12" w:space="0" w:color="auto"/>
              <w:bottom w:val="single" w:sz="4" w:space="0" w:color="auto"/>
              <w:right w:val="single" w:sz="12" w:space="0" w:color="auto"/>
            </w:tcBorders>
            <w:noWrap/>
            <w:vAlign w:val="center"/>
            <w:hideMark/>
          </w:tcPr>
          <w:p w14:paraId="7820763E" w14:textId="45DFC81F"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(441)</w:t>
            </w:r>
          </w:p>
        </w:tc>
      </w:tr>
      <w:tr w:rsidR="004127AB" w:rsidRPr="008344E0" w14:paraId="12EC8A5B"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1173F4F1" w14:textId="458F09E1"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28887DF2"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Net Lease Wrap Income</w:t>
            </w:r>
          </w:p>
        </w:tc>
        <w:tc>
          <w:tcPr>
            <w:tcW w:w="1137" w:type="dxa"/>
            <w:tcBorders>
              <w:top w:val="nil"/>
              <w:left w:val="nil"/>
              <w:bottom w:val="single" w:sz="4" w:space="0" w:color="auto"/>
              <w:right w:val="single" w:sz="4" w:space="0" w:color="auto"/>
            </w:tcBorders>
            <w:noWrap/>
            <w:vAlign w:val="center"/>
            <w:hideMark/>
          </w:tcPr>
          <w:p w14:paraId="17546FD4" w14:textId="350D2FDE"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(1,028)</w:t>
            </w:r>
          </w:p>
        </w:tc>
        <w:tc>
          <w:tcPr>
            <w:tcW w:w="1134" w:type="dxa"/>
            <w:tcBorders>
              <w:top w:val="nil"/>
              <w:left w:val="single" w:sz="12" w:space="0" w:color="auto"/>
              <w:bottom w:val="single" w:sz="4" w:space="0" w:color="auto"/>
              <w:right w:val="single" w:sz="4" w:space="0" w:color="auto"/>
            </w:tcBorders>
            <w:noWrap/>
            <w:vAlign w:val="center"/>
            <w:hideMark/>
          </w:tcPr>
          <w:p w14:paraId="1D52D35C" w14:textId="55F232FC"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(1,028)</w:t>
            </w:r>
          </w:p>
        </w:tc>
        <w:tc>
          <w:tcPr>
            <w:tcW w:w="1134" w:type="dxa"/>
            <w:tcBorders>
              <w:top w:val="nil"/>
              <w:left w:val="single" w:sz="12" w:space="0" w:color="auto"/>
              <w:bottom w:val="single" w:sz="4" w:space="0" w:color="auto"/>
              <w:right w:val="single" w:sz="4" w:space="0" w:color="auto"/>
            </w:tcBorders>
            <w:noWrap/>
            <w:vAlign w:val="center"/>
            <w:hideMark/>
          </w:tcPr>
          <w:p w14:paraId="0D8344DF" w14:textId="479AD77F"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(1,028)</w:t>
            </w:r>
          </w:p>
        </w:tc>
        <w:tc>
          <w:tcPr>
            <w:tcW w:w="1134" w:type="dxa"/>
            <w:tcBorders>
              <w:top w:val="nil"/>
              <w:left w:val="single" w:sz="12" w:space="0" w:color="auto"/>
              <w:bottom w:val="single" w:sz="4" w:space="0" w:color="auto"/>
              <w:right w:val="single" w:sz="12" w:space="0" w:color="auto"/>
            </w:tcBorders>
            <w:noWrap/>
            <w:vAlign w:val="center"/>
            <w:hideMark/>
          </w:tcPr>
          <w:p w14:paraId="7FF5C752" w14:textId="1A49F6D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(1,028)</w:t>
            </w:r>
          </w:p>
        </w:tc>
      </w:tr>
      <w:tr w:rsidR="004127AB" w:rsidRPr="008344E0" w14:paraId="6EB59D50" w14:textId="77777777" w:rsidTr="00A77FCF">
        <w:trPr>
          <w:trHeight w:val="20"/>
        </w:trPr>
        <w:tc>
          <w:tcPr>
            <w:tcW w:w="1134" w:type="dxa"/>
            <w:tcBorders>
              <w:top w:val="nil"/>
              <w:left w:val="single" w:sz="12" w:space="0" w:color="auto"/>
              <w:bottom w:val="single" w:sz="4" w:space="0" w:color="auto"/>
              <w:right w:val="single" w:sz="4" w:space="0" w:color="auto"/>
            </w:tcBorders>
            <w:noWrap/>
            <w:vAlign w:val="center"/>
            <w:hideMark/>
          </w:tcPr>
          <w:p w14:paraId="17847863" w14:textId="77BEF2A8" w:rsidR="004127AB" w:rsidRPr="008344E0" w:rsidRDefault="004127AB" w:rsidP="004127AB">
            <w:pPr>
              <w:jc w:val="right"/>
              <w:rPr>
                <w:rFonts w:eastAsia="Times New Roman" w:cs="Times New Roman"/>
                <w:color w:val="000000"/>
                <w:kern w:val="0"/>
                <w:sz w:val="20"/>
                <w:szCs w:val="20"/>
                <w:lang w:eastAsia="en-GB"/>
                <w14:ligatures w14:val="none"/>
              </w:rPr>
            </w:pP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500B31B3" w14:textId="52ADFC90" w:rsidR="004127AB" w:rsidRPr="008344E0" w:rsidRDefault="004127AB" w:rsidP="004127AB">
            <w:pPr>
              <w:jc w:val="right"/>
              <w:rPr>
                <w:rFonts w:eastAsia="Times New Roman" w:cs="Times New Roman"/>
                <w:color w:val="000000"/>
                <w:kern w:val="0"/>
                <w:sz w:val="20"/>
                <w:szCs w:val="20"/>
                <w:lang w:eastAsia="en-GB"/>
                <w14:ligatures w14:val="none"/>
              </w:rPr>
            </w:pPr>
          </w:p>
        </w:tc>
        <w:tc>
          <w:tcPr>
            <w:tcW w:w="1137" w:type="dxa"/>
            <w:tcBorders>
              <w:top w:val="nil"/>
              <w:left w:val="nil"/>
              <w:bottom w:val="single" w:sz="4" w:space="0" w:color="auto"/>
              <w:right w:val="single" w:sz="4" w:space="0" w:color="auto"/>
            </w:tcBorders>
            <w:noWrap/>
            <w:vAlign w:val="bottom"/>
            <w:hideMark/>
          </w:tcPr>
          <w:p w14:paraId="587E81A8" w14:textId="5ADFE709" w:rsidR="004127AB" w:rsidRPr="008344E0" w:rsidRDefault="004127AB" w:rsidP="004127AB">
            <w:pPr>
              <w:jc w:val="right"/>
              <w:rPr>
                <w:rFonts w:eastAsia="Times New Roman" w:cs="Times New Roman"/>
                <w:color w:val="000000"/>
                <w:kern w:val="0"/>
                <w:sz w:val="20"/>
                <w:szCs w:val="20"/>
                <w:lang w:eastAsia="en-GB"/>
                <w14:ligatures w14:val="none"/>
              </w:rPr>
            </w:pPr>
            <w:r>
              <w:rPr>
                <w:rFonts w:ascii="Calibri" w:hAnsi="Calibri" w:cs="Calibri"/>
                <w:color w:val="000000"/>
              </w:rPr>
              <w:t>-</w:t>
            </w:r>
          </w:p>
        </w:tc>
        <w:tc>
          <w:tcPr>
            <w:tcW w:w="1134" w:type="dxa"/>
            <w:tcBorders>
              <w:top w:val="nil"/>
              <w:left w:val="single" w:sz="12" w:space="0" w:color="auto"/>
              <w:bottom w:val="single" w:sz="4" w:space="0" w:color="auto"/>
              <w:right w:val="single" w:sz="4" w:space="0" w:color="auto"/>
            </w:tcBorders>
            <w:noWrap/>
            <w:vAlign w:val="bottom"/>
            <w:hideMark/>
          </w:tcPr>
          <w:p w14:paraId="0840FDE0" w14:textId="55CF2FE3" w:rsidR="004127AB" w:rsidRPr="008344E0" w:rsidRDefault="004127AB" w:rsidP="004127AB">
            <w:pPr>
              <w:jc w:val="right"/>
              <w:rPr>
                <w:rFonts w:eastAsia="Times New Roman" w:cs="Times New Roman"/>
                <w:color w:val="000000"/>
                <w:kern w:val="0"/>
                <w:sz w:val="20"/>
                <w:szCs w:val="20"/>
                <w:lang w:eastAsia="en-GB"/>
                <w14:ligatures w14:val="none"/>
              </w:rPr>
            </w:pPr>
            <w:r>
              <w:rPr>
                <w:rFonts w:ascii="Calibri" w:hAnsi="Calibri" w:cs="Calibri"/>
                <w:color w:val="000000"/>
              </w:rPr>
              <w:t>-</w:t>
            </w:r>
          </w:p>
        </w:tc>
        <w:tc>
          <w:tcPr>
            <w:tcW w:w="1134" w:type="dxa"/>
            <w:tcBorders>
              <w:top w:val="nil"/>
              <w:left w:val="single" w:sz="12" w:space="0" w:color="auto"/>
              <w:bottom w:val="single" w:sz="4" w:space="0" w:color="auto"/>
              <w:right w:val="single" w:sz="4" w:space="0" w:color="auto"/>
            </w:tcBorders>
            <w:noWrap/>
            <w:vAlign w:val="bottom"/>
            <w:hideMark/>
          </w:tcPr>
          <w:p w14:paraId="405826CF" w14:textId="6F2965BF" w:rsidR="004127AB" w:rsidRPr="008344E0" w:rsidRDefault="004127AB" w:rsidP="004127AB">
            <w:pPr>
              <w:jc w:val="right"/>
              <w:rPr>
                <w:rFonts w:eastAsia="Times New Roman" w:cs="Times New Roman"/>
                <w:color w:val="000000"/>
                <w:kern w:val="0"/>
                <w:sz w:val="20"/>
                <w:szCs w:val="20"/>
                <w:lang w:eastAsia="en-GB"/>
                <w14:ligatures w14:val="none"/>
              </w:rPr>
            </w:pPr>
            <w:r>
              <w:rPr>
                <w:rFonts w:ascii="Calibri" w:hAnsi="Calibri" w:cs="Calibri"/>
                <w:color w:val="000000"/>
              </w:rPr>
              <w:t>-</w:t>
            </w:r>
          </w:p>
        </w:tc>
        <w:tc>
          <w:tcPr>
            <w:tcW w:w="1134" w:type="dxa"/>
            <w:tcBorders>
              <w:top w:val="nil"/>
              <w:left w:val="single" w:sz="12" w:space="0" w:color="auto"/>
              <w:bottom w:val="single" w:sz="4" w:space="0" w:color="auto"/>
              <w:right w:val="single" w:sz="12" w:space="0" w:color="auto"/>
            </w:tcBorders>
            <w:noWrap/>
            <w:vAlign w:val="bottom"/>
            <w:hideMark/>
          </w:tcPr>
          <w:p w14:paraId="10D5A207" w14:textId="0C08D598" w:rsidR="004127AB" w:rsidRPr="008344E0" w:rsidRDefault="004127AB" w:rsidP="004127AB">
            <w:pPr>
              <w:jc w:val="right"/>
              <w:rPr>
                <w:rFonts w:eastAsia="Times New Roman" w:cs="Times New Roman"/>
                <w:color w:val="000000"/>
                <w:kern w:val="0"/>
                <w:sz w:val="20"/>
                <w:szCs w:val="20"/>
                <w:lang w:eastAsia="en-GB"/>
                <w14:ligatures w14:val="none"/>
              </w:rPr>
            </w:pPr>
            <w:r>
              <w:rPr>
                <w:rFonts w:ascii="Calibri" w:hAnsi="Calibri" w:cs="Calibri"/>
                <w:color w:val="000000"/>
              </w:rPr>
              <w:t>-</w:t>
            </w:r>
          </w:p>
        </w:tc>
      </w:tr>
      <w:tr w:rsidR="004127AB" w:rsidRPr="008344E0" w14:paraId="405B993F" w14:textId="77777777">
        <w:trPr>
          <w:trHeight w:val="20"/>
        </w:trPr>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4860FDCC" w14:textId="385BF18C"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12,901</w:t>
            </w:r>
          </w:p>
        </w:tc>
        <w:tc>
          <w:tcPr>
            <w:tcW w:w="511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4BF55F23" w14:textId="77777777" w:rsidR="004127AB" w:rsidRPr="008344E0" w:rsidRDefault="004127AB" w:rsidP="004127AB">
            <w:pPr>
              <w:rPr>
                <w:rFonts w:eastAsia="Times New Roman" w:cs="Times New Roman"/>
                <w:b/>
                <w:bCs/>
                <w:color w:val="000000"/>
                <w:kern w:val="0"/>
                <w:sz w:val="20"/>
                <w:szCs w:val="20"/>
                <w:lang w:eastAsia="en-GB"/>
                <w14:ligatures w14:val="none"/>
              </w:rPr>
            </w:pPr>
            <w:r w:rsidRPr="008344E0">
              <w:rPr>
                <w:rFonts w:eastAsia="Times New Roman" w:cs="Times New Roman"/>
                <w:b/>
                <w:bCs/>
                <w:color w:val="000000"/>
                <w:kern w:val="0"/>
                <w:sz w:val="20"/>
                <w:szCs w:val="20"/>
                <w:lang w:eastAsia="en-GB"/>
                <w14:ligatures w14:val="none"/>
              </w:rPr>
              <w:t>Net Central Expense Costs</w:t>
            </w:r>
          </w:p>
        </w:tc>
        <w:tc>
          <w:tcPr>
            <w:tcW w:w="1137" w:type="dxa"/>
            <w:tcBorders>
              <w:top w:val="single" w:sz="12" w:space="0" w:color="auto"/>
              <w:left w:val="nil"/>
              <w:bottom w:val="single" w:sz="12" w:space="0" w:color="auto"/>
              <w:right w:val="single" w:sz="4" w:space="0" w:color="auto"/>
            </w:tcBorders>
            <w:shd w:val="clear" w:color="auto" w:fill="E8E8E8"/>
            <w:noWrap/>
            <w:vAlign w:val="center"/>
            <w:hideMark/>
          </w:tcPr>
          <w:p w14:paraId="1F4FAE5D" w14:textId="28F17B5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17,103</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4EE0E7CC" w14:textId="38BB9D2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17,302</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252957ED" w14:textId="344B05C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16,945</w:t>
            </w:r>
          </w:p>
        </w:tc>
        <w:tc>
          <w:tcPr>
            <w:tcW w:w="1134"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3E1ED845" w14:textId="4C49C67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16,680</w:t>
            </w:r>
          </w:p>
        </w:tc>
      </w:tr>
      <w:tr w:rsidR="004127AB" w:rsidRPr="008344E0" w14:paraId="3ECB5361" w14:textId="77777777">
        <w:trPr>
          <w:trHeight w:val="20"/>
        </w:trPr>
        <w:tc>
          <w:tcPr>
            <w:tcW w:w="1134" w:type="dxa"/>
            <w:tcBorders>
              <w:top w:val="single" w:sz="4" w:space="0" w:color="auto"/>
              <w:left w:val="single" w:sz="12" w:space="0" w:color="auto"/>
              <w:bottom w:val="single" w:sz="4" w:space="0" w:color="auto"/>
              <w:right w:val="single" w:sz="4" w:space="0" w:color="auto"/>
            </w:tcBorders>
            <w:noWrap/>
            <w:vAlign w:val="center"/>
            <w:hideMark/>
          </w:tcPr>
          <w:p w14:paraId="1512D8FC" w14:textId="21E71810"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w:t>
            </w:r>
            <w:r>
              <w:rPr>
                <w:rFonts w:eastAsia="Times New Roman" w:cs="Times New Roman"/>
                <w:color w:val="000000"/>
                <w:kern w:val="0"/>
                <w:sz w:val="20"/>
                <w:szCs w:val="20"/>
                <w:lang w:eastAsia="en-GB"/>
                <w14:ligatures w14:val="none"/>
              </w:rPr>
              <w:t>79</w:t>
            </w:r>
            <w:r w:rsidRPr="008344E0">
              <w:rPr>
                <w:rFonts w:eastAsia="Times New Roman" w:cs="Times New Roman"/>
                <w:color w:val="000000"/>
                <w:kern w:val="0"/>
                <w:sz w:val="20"/>
                <w:szCs w:val="20"/>
                <w:lang w:eastAsia="en-GB"/>
                <w14:ligatures w14:val="none"/>
              </w:rPr>
              <w:t>)</w:t>
            </w:r>
          </w:p>
        </w:tc>
        <w:tc>
          <w:tcPr>
            <w:tcW w:w="5117"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0F1AFFE3"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Emp NI Grant</w:t>
            </w:r>
          </w:p>
        </w:tc>
        <w:tc>
          <w:tcPr>
            <w:tcW w:w="1137" w:type="dxa"/>
            <w:tcBorders>
              <w:top w:val="single" w:sz="4" w:space="0" w:color="auto"/>
              <w:left w:val="nil"/>
              <w:bottom w:val="single" w:sz="4" w:space="0" w:color="auto"/>
              <w:right w:val="single" w:sz="4" w:space="0" w:color="auto"/>
            </w:tcBorders>
            <w:noWrap/>
            <w:vAlign w:val="center"/>
            <w:hideMark/>
          </w:tcPr>
          <w:p w14:paraId="19D74DC2" w14:textId="454F6DB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(179)</w:t>
            </w:r>
          </w:p>
        </w:tc>
        <w:tc>
          <w:tcPr>
            <w:tcW w:w="1134" w:type="dxa"/>
            <w:tcBorders>
              <w:top w:val="single" w:sz="4" w:space="0" w:color="auto"/>
              <w:left w:val="single" w:sz="12" w:space="0" w:color="auto"/>
              <w:bottom w:val="single" w:sz="4" w:space="0" w:color="auto"/>
              <w:right w:val="single" w:sz="4" w:space="0" w:color="auto"/>
            </w:tcBorders>
            <w:noWrap/>
            <w:vAlign w:val="center"/>
            <w:hideMark/>
          </w:tcPr>
          <w:p w14:paraId="73CEB7FB" w14:textId="1330DEF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(179)</w:t>
            </w:r>
          </w:p>
        </w:tc>
        <w:tc>
          <w:tcPr>
            <w:tcW w:w="1134" w:type="dxa"/>
            <w:tcBorders>
              <w:top w:val="single" w:sz="4" w:space="0" w:color="auto"/>
              <w:left w:val="single" w:sz="12" w:space="0" w:color="auto"/>
              <w:bottom w:val="single" w:sz="4" w:space="0" w:color="auto"/>
              <w:right w:val="single" w:sz="4" w:space="0" w:color="auto"/>
            </w:tcBorders>
            <w:noWrap/>
            <w:vAlign w:val="center"/>
            <w:hideMark/>
          </w:tcPr>
          <w:p w14:paraId="5C751457" w14:textId="54E5BF1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(179)</w:t>
            </w:r>
          </w:p>
        </w:tc>
        <w:tc>
          <w:tcPr>
            <w:tcW w:w="1134" w:type="dxa"/>
            <w:tcBorders>
              <w:top w:val="single" w:sz="4" w:space="0" w:color="auto"/>
              <w:left w:val="single" w:sz="12" w:space="0" w:color="auto"/>
              <w:bottom w:val="single" w:sz="4" w:space="0" w:color="auto"/>
              <w:right w:val="single" w:sz="12" w:space="0" w:color="auto"/>
            </w:tcBorders>
            <w:noWrap/>
            <w:vAlign w:val="center"/>
            <w:hideMark/>
          </w:tcPr>
          <w:p w14:paraId="129A26B3" w14:textId="0CE15CCF"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(179)</w:t>
            </w:r>
          </w:p>
        </w:tc>
      </w:tr>
      <w:tr w:rsidR="004127AB" w:rsidRPr="008344E0" w14:paraId="4346C924"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194A8C7A" w14:textId="062F7A8E"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(15,000)</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5BFBEECC"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Devolution Funding</w:t>
            </w:r>
          </w:p>
        </w:tc>
        <w:tc>
          <w:tcPr>
            <w:tcW w:w="1137" w:type="dxa"/>
            <w:tcBorders>
              <w:top w:val="nil"/>
              <w:left w:val="nil"/>
              <w:bottom w:val="single" w:sz="4" w:space="0" w:color="auto"/>
              <w:right w:val="single" w:sz="4" w:space="0" w:color="auto"/>
            </w:tcBorders>
            <w:noWrap/>
            <w:vAlign w:val="center"/>
            <w:hideMark/>
          </w:tcPr>
          <w:p w14:paraId="6B04F713" w14:textId="3CB2173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(15,000)</w:t>
            </w:r>
          </w:p>
        </w:tc>
        <w:tc>
          <w:tcPr>
            <w:tcW w:w="1134" w:type="dxa"/>
            <w:tcBorders>
              <w:top w:val="nil"/>
              <w:left w:val="single" w:sz="12" w:space="0" w:color="auto"/>
              <w:bottom w:val="single" w:sz="4" w:space="0" w:color="auto"/>
              <w:right w:val="single" w:sz="4" w:space="0" w:color="auto"/>
            </w:tcBorders>
            <w:noWrap/>
            <w:vAlign w:val="center"/>
            <w:hideMark/>
          </w:tcPr>
          <w:p w14:paraId="3887947B" w14:textId="173069C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(15,000)</w:t>
            </w:r>
          </w:p>
        </w:tc>
        <w:tc>
          <w:tcPr>
            <w:tcW w:w="1134" w:type="dxa"/>
            <w:tcBorders>
              <w:top w:val="nil"/>
              <w:left w:val="single" w:sz="12" w:space="0" w:color="auto"/>
              <w:bottom w:val="single" w:sz="4" w:space="0" w:color="auto"/>
              <w:right w:val="single" w:sz="4" w:space="0" w:color="auto"/>
            </w:tcBorders>
            <w:noWrap/>
            <w:vAlign w:val="center"/>
            <w:hideMark/>
          </w:tcPr>
          <w:p w14:paraId="445800D5" w14:textId="37579D6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(15,000)</w:t>
            </w:r>
          </w:p>
        </w:tc>
        <w:tc>
          <w:tcPr>
            <w:tcW w:w="1134" w:type="dxa"/>
            <w:tcBorders>
              <w:top w:val="nil"/>
              <w:left w:val="single" w:sz="12" w:space="0" w:color="auto"/>
              <w:bottom w:val="single" w:sz="4" w:space="0" w:color="auto"/>
              <w:right w:val="single" w:sz="12" w:space="0" w:color="auto"/>
            </w:tcBorders>
            <w:noWrap/>
            <w:vAlign w:val="center"/>
            <w:hideMark/>
          </w:tcPr>
          <w:p w14:paraId="7F24D686" w14:textId="373DB67B"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(15,000)</w:t>
            </w:r>
          </w:p>
        </w:tc>
      </w:tr>
      <w:tr w:rsidR="004127AB" w:rsidRPr="008344E0" w14:paraId="39F22819"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0D9F4AAA" w14:textId="6D6D0E3A"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(1,500)</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33001468"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Mayoral capacity</w:t>
            </w:r>
          </w:p>
        </w:tc>
        <w:tc>
          <w:tcPr>
            <w:tcW w:w="1137" w:type="dxa"/>
            <w:tcBorders>
              <w:top w:val="nil"/>
              <w:left w:val="nil"/>
              <w:bottom w:val="single" w:sz="4" w:space="0" w:color="auto"/>
              <w:right w:val="single" w:sz="4" w:space="0" w:color="auto"/>
            </w:tcBorders>
            <w:noWrap/>
            <w:vAlign w:val="center"/>
            <w:hideMark/>
          </w:tcPr>
          <w:p w14:paraId="251B998C" w14:textId="558E6C84"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w:t>
            </w:r>
          </w:p>
        </w:tc>
        <w:tc>
          <w:tcPr>
            <w:tcW w:w="1134" w:type="dxa"/>
            <w:tcBorders>
              <w:top w:val="nil"/>
              <w:left w:val="single" w:sz="12" w:space="0" w:color="auto"/>
              <w:bottom w:val="single" w:sz="4" w:space="0" w:color="auto"/>
              <w:right w:val="single" w:sz="4" w:space="0" w:color="auto"/>
            </w:tcBorders>
            <w:noWrap/>
            <w:vAlign w:val="center"/>
            <w:hideMark/>
          </w:tcPr>
          <w:p w14:paraId="2EDE5971" w14:textId="53E5EA01"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w:t>
            </w:r>
          </w:p>
        </w:tc>
        <w:tc>
          <w:tcPr>
            <w:tcW w:w="1134" w:type="dxa"/>
            <w:tcBorders>
              <w:top w:val="nil"/>
              <w:left w:val="single" w:sz="12" w:space="0" w:color="auto"/>
              <w:bottom w:val="single" w:sz="4" w:space="0" w:color="auto"/>
              <w:right w:val="single" w:sz="4" w:space="0" w:color="auto"/>
            </w:tcBorders>
            <w:noWrap/>
            <w:vAlign w:val="center"/>
            <w:hideMark/>
          </w:tcPr>
          <w:p w14:paraId="231A05C4" w14:textId="364F115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w:t>
            </w:r>
          </w:p>
        </w:tc>
        <w:tc>
          <w:tcPr>
            <w:tcW w:w="1134" w:type="dxa"/>
            <w:tcBorders>
              <w:top w:val="nil"/>
              <w:left w:val="single" w:sz="12" w:space="0" w:color="auto"/>
              <w:bottom w:val="single" w:sz="4" w:space="0" w:color="auto"/>
              <w:right w:val="single" w:sz="12" w:space="0" w:color="auto"/>
            </w:tcBorders>
            <w:noWrap/>
            <w:vAlign w:val="center"/>
            <w:hideMark/>
          </w:tcPr>
          <w:p w14:paraId="385BEF25" w14:textId="1258FC71"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(1,500)</w:t>
            </w:r>
          </w:p>
        </w:tc>
      </w:tr>
      <w:tr w:rsidR="004127AB" w:rsidRPr="008344E0" w14:paraId="6F64185A" w14:textId="77777777">
        <w:trPr>
          <w:trHeight w:val="20"/>
        </w:trPr>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19F90FC4" w14:textId="2FF52A47"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(16,6</w:t>
            </w:r>
            <w:r>
              <w:rPr>
                <w:rFonts w:eastAsia="Times New Roman" w:cs="Times New Roman"/>
                <w:color w:val="000000"/>
                <w:kern w:val="0"/>
                <w:sz w:val="20"/>
                <w:szCs w:val="20"/>
                <w:lang w:eastAsia="en-GB"/>
                <w14:ligatures w14:val="none"/>
              </w:rPr>
              <w:t>79</w:t>
            </w:r>
            <w:r w:rsidRPr="008344E0">
              <w:rPr>
                <w:rFonts w:eastAsia="Times New Roman" w:cs="Times New Roman"/>
                <w:color w:val="000000"/>
                <w:kern w:val="0"/>
                <w:sz w:val="20"/>
                <w:szCs w:val="20"/>
                <w:lang w:eastAsia="en-GB"/>
                <w14:ligatures w14:val="none"/>
              </w:rPr>
              <w:t>)</w:t>
            </w:r>
          </w:p>
        </w:tc>
        <w:tc>
          <w:tcPr>
            <w:tcW w:w="511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02DE8D07" w14:textId="77777777" w:rsidR="004127AB" w:rsidRPr="008344E0" w:rsidRDefault="004127AB" w:rsidP="004127AB">
            <w:pPr>
              <w:rPr>
                <w:rFonts w:eastAsia="Times New Roman" w:cs="Times New Roman"/>
                <w:b/>
                <w:bCs/>
                <w:color w:val="000000"/>
                <w:kern w:val="0"/>
                <w:sz w:val="20"/>
                <w:szCs w:val="20"/>
                <w:lang w:eastAsia="en-GB"/>
                <w14:ligatures w14:val="none"/>
              </w:rPr>
            </w:pPr>
            <w:r w:rsidRPr="008344E0">
              <w:rPr>
                <w:rFonts w:eastAsia="Times New Roman" w:cs="Times New Roman"/>
                <w:b/>
                <w:bCs/>
                <w:color w:val="000000"/>
                <w:kern w:val="0"/>
                <w:sz w:val="20"/>
                <w:szCs w:val="20"/>
                <w:lang w:eastAsia="en-GB"/>
                <w14:ligatures w14:val="none"/>
              </w:rPr>
              <w:t xml:space="preserve">Total Core Funding </w:t>
            </w:r>
          </w:p>
        </w:tc>
        <w:tc>
          <w:tcPr>
            <w:tcW w:w="1137" w:type="dxa"/>
            <w:tcBorders>
              <w:top w:val="single" w:sz="12" w:space="0" w:color="auto"/>
              <w:left w:val="nil"/>
              <w:bottom w:val="single" w:sz="12" w:space="0" w:color="auto"/>
              <w:right w:val="single" w:sz="4" w:space="0" w:color="auto"/>
            </w:tcBorders>
            <w:shd w:val="clear" w:color="auto" w:fill="E8E8E8"/>
            <w:noWrap/>
            <w:vAlign w:val="center"/>
            <w:hideMark/>
          </w:tcPr>
          <w:p w14:paraId="2ED4E936" w14:textId="7AD9399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(16,679)</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390381C7" w14:textId="7A842F92"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(16,679)</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569692DF" w14:textId="3C21F7D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(16,679)</w:t>
            </w:r>
          </w:p>
        </w:tc>
        <w:tc>
          <w:tcPr>
            <w:tcW w:w="1134"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698D5E35" w14:textId="7E2DBA0F"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(16,679)</w:t>
            </w:r>
          </w:p>
        </w:tc>
      </w:tr>
      <w:tr w:rsidR="004127AB" w:rsidRPr="008344E0" w14:paraId="740CAD42" w14:textId="77777777">
        <w:trPr>
          <w:trHeight w:val="20"/>
        </w:trPr>
        <w:tc>
          <w:tcPr>
            <w:tcW w:w="1134" w:type="dxa"/>
            <w:tcBorders>
              <w:top w:val="single" w:sz="4" w:space="0" w:color="auto"/>
              <w:left w:val="single" w:sz="12" w:space="0" w:color="auto"/>
              <w:bottom w:val="single" w:sz="4" w:space="0" w:color="auto"/>
              <w:right w:val="single" w:sz="4" w:space="0" w:color="auto"/>
            </w:tcBorders>
            <w:noWrap/>
            <w:vAlign w:val="center"/>
            <w:hideMark/>
          </w:tcPr>
          <w:p w14:paraId="6E07339F" w14:textId="173A5A3B"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(5,999)</w:t>
            </w:r>
          </w:p>
        </w:tc>
        <w:tc>
          <w:tcPr>
            <w:tcW w:w="5117"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25544F94"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Enterprise Zone Business rates</w:t>
            </w:r>
          </w:p>
        </w:tc>
        <w:tc>
          <w:tcPr>
            <w:tcW w:w="1137" w:type="dxa"/>
            <w:tcBorders>
              <w:top w:val="single" w:sz="4" w:space="0" w:color="auto"/>
              <w:left w:val="nil"/>
              <w:bottom w:val="single" w:sz="4" w:space="0" w:color="auto"/>
              <w:right w:val="single" w:sz="4" w:space="0" w:color="auto"/>
            </w:tcBorders>
            <w:noWrap/>
            <w:vAlign w:val="center"/>
            <w:hideMark/>
          </w:tcPr>
          <w:p w14:paraId="2E7D9B23" w14:textId="3B47D22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(8,899)</w:t>
            </w:r>
          </w:p>
        </w:tc>
        <w:tc>
          <w:tcPr>
            <w:tcW w:w="1134" w:type="dxa"/>
            <w:tcBorders>
              <w:top w:val="single" w:sz="4" w:space="0" w:color="auto"/>
              <w:left w:val="single" w:sz="12" w:space="0" w:color="auto"/>
              <w:bottom w:val="single" w:sz="4" w:space="0" w:color="auto"/>
              <w:right w:val="single" w:sz="4" w:space="0" w:color="auto"/>
            </w:tcBorders>
            <w:noWrap/>
            <w:vAlign w:val="center"/>
            <w:hideMark/>
          </w:tcPr>
          <w:p w14:paraId="23B5544D" w14:textId="4D56E495"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(6,239)</w:t>
            </w:r>
          </w:p>
        </w:tc>
        <w:tc>
          <w:tcPr>
            <w:tcW w:w="1134" w:type="dxa"/>
            <w:tcBorders>
              <w:top w:val="single" w:sz="4" w:space="0" w:color="auto"/>
              <w:left w:val="single" w:sz="12" w:space="0" w:color="auto"/>
              <w:bottom w:val="single" w:sz="4" w:space="0" w:color="auto"/>
              <w:right w:val="single" w:sz="4" w:space="0" w:color="auto"/>
            </w:tcBorders>
            <w:noWrap/>
            <w:vAlign w:val="center"/>
            <w:hideMark/>
          </w:tcPr>
          <w:p w14:paraId="7E6FC57E" w14:textId="198C18F9"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(6,489)</w:t>
            </w:r>
          </w:p>
        </w:tc>
        <w:tc>
          <w:tcPr>
            <w:tcW w:w="1134" w:type="dxa"/>
            <w:tcBorders>
              <w:top w:val="single" w:sz="4" w:space="0" w:color="auto"/>
              <w:left w:val="single" w:sz="12" w:space="0" w:color="auto"/>
              <w:bottom w:val="single" w:sz="4" w:space="0" w:color="auto"/>
              <w:right w:val="single" w:sz="12" w:space="0" w:color="auto"/>
            </w:tcBorders>
            <w:noWrap/>
            <w:vAlign w:val="center"/>
            <w:hideMark/>
          </w:tcPr>
          <w:p w14:paraId="20F86378" w14:textId="2EA6D11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(6,748)</w:t>
            </w:r>
          </w:p>
        </w:tc>
      </w:tr>
      <w:tr w:rsidR="004127AB" w:rsidRPr="008344E0" w14:paraId="562D2334"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255FC5CC" w14:textId="1B8DCAA6"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(5,999)</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6633F0A8"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Enterprise Zone Business rates Total</w:t>
            </w:r>
          </w:p>
        </w:tc>
        <w:tc>
          <w:tcPr>
            <w:tcW w:w="1137" w:type="dxa"/>
            <w:tcBorders>
              <w:top w:val="nil"/>
              <w:left w:val="nil"/>
              <w:bottom w:val="single" w:sz="4" w:space="0" w:color="auto"/>
              <w:right w:val="single" w:sz="4" w:space="0" w:color="auto"/>
            </w:tcBorders>
            <w:noWrap/>
            <w:vAlign w:val="center"/>
            <w:hideMark/>
          </w:tcPr>
          <w:p w14:paraId="71A45D28" w14:textId="50AF2D0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(8,899)</w:t>
            </w:r>
          </w:p>
        </w:tc>
        <w:tc>
          <w:tcPr>
            <w:tcW w:w="1134" w:type="dxa"/>
            <w:tcBorders>
              <w:top w:val="nil"/>
              <w:left w:val="single" w:sz="12" w:space="0" w:color="auto"/>
              <w:bottom w:val="single" w:sz="4" w:space="0" w:color="auto"/>
              <w:right w:val="single" w:sz="4" w:space="0" w:color="auto"/>
            </w:tcBorders>
            <w:noWrap/>
            <w:vAlign w:val="center"/>
            <w:hideMark/>
          </w:tcPr>
          <w:p w14:paraId="4996B899" w14:textId="6B5F33B1"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(6,239)</w:t>
            </w:r>
          </w:p>
        </w:tc>
        <w:tc>
          <w:tcPr>
            <w:tcW w:w="1134" w:type="dxa"/>
            <w:tcBorders>
              <w:top w:val="nil"/>
              <w:left w:val="single" w:sz="12" w:space="0" w:color="auto"/>
              <w:bottom w:val="single" w:sz="4" w:space="0" w:color="auto"/>
              <w:right w:val="single" w:sz="4" w:space="0" w:color="auto"/>
            </w:tcBorders>
            <w:noWrap/>
            <w:vAlign w:val="center"/>
            <w:hideMark/>
          </w:tcPr>
          <w:p w14:paraId="3634A32B" w14:textId="3E4EF87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(6,489)</w:t>
            </w:r>
          </w:p>
        </w:tc>
        <w:tc>
          <w:tcPr>
            <w:tcW w:w="1134" w:type="dxa"/>
            <w:tcBorders>
              <w:top w:val="nil"/>
              <w:left w:val="single" w:sz="12" w:space="0" w:color="auto"/>
              <w:bottom w:val="single" w:sz="4" w:space="0" w:color="auto"/>
              <w:right w:val="single" w:sz="12" w:space="0" w:color="auto"/>
            </w:tcBorders>
            <w:noWrap/>
            <w:vAlign w:val="center"/>
            <w:hideMark/>
          </w:tcPr>
          <w:p w14:paraId="1C647D71" w14:textId="769E2406"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(6,748)</w:t>
            </w:r>
          </w:p>
        </w:tc>
      </w:tr>
      <w:tr w:rsidR="004127AB" w:rsidRPr="008344E0" w14:paraId="5C0A3C2E" w14:textId="77777777">
        <w:trPr>
          <w:trHeight w:val="20"/>
        </w:trPr>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1CAC62DA" w14:textId="6C82BF2B"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5,772</w:t>
            </w:r>
          </w:p>
        </w:tc>
        <w:tc>
          <w:tcPr>
            <w:tcW w:w="511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1C58FA52" w14:textId="77777777" w:rsidR="004127AB" w:rsidRPr="008344E0" w:rsidRDefault="004127AB" w:rsidP="004127AB">
            <w:pPr>
              <w:rPr>
                <w:rFonts w:eastAsia="Times New Roman" w:cs="Times New Roman"/>
                <w:b/>
                <w:bCs/>
                <w:color w:val="000000"/>
                <w:kern w:val="0"/>
                <w:sz w:val="20"/>
                <w:szCs w:val="20"/>
                <w:lang w:eastAsia="en-GB"/>
                <w14:ligatures w14:val="none"/>
              </w:rPr>
            </w:pPr>
            <w:r w:rsidRPr="008344E0">
              <w:rPr>
                <w:rFonts w:eastAsia="Times New Roman" w:cs="Times New Roman"/>
                <w:b/>
                <w:bCs/>
                <w:color w:val="000000"/>
                <w:kern w:val="0"/>
                <w:sz w:val="20"/>
                <w:szCs w:val="20"/>
                <w:lang w:eastAsia="en-GB"/>
                <w14:ligatures w14:val="none"/>
              </w:rPr>
              <w:t>Net Expenditure</w:t>
            </w:r>
          </w:p>
        </w:tc>
        <w:tc>
          <w:tcPr>
            <w:tcW w:w="1137" w:type="dxa"/>
            <w:tcBorders>
              <w:top w:val="single" w:sz="12" w:space="0" w:color="auto"/>
              <w:left w:val="nil"/>
              <w:bottom w:val="single" w:sz="12" w:space="0" w:color="auto"/>
              <w:right w:val="single" w:sz="4" w:space="0" w:color="auto"/>
            </w:tcBorders>
            <w:shd w:val="clear" w:color="auto" w:fill="E8E8E8"/>
            <w:noWrap/>
            <w:vAlign w:val="center"/>
            <w:hideMark/>
          </w:tcPr>
          <w:p w14:paraId="1C87ED50" w14:textId="2BD8E8A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(1,577)</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25A7E184" w14:textId="3B611213"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(391)</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34835B6C" w14:textId="15FF357A"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(759)</w:t>
            </w:r>
          </w:p>
        </w:tc>
        <w:tc>
          <w:tcPr>
            <w:tcW w:w="1134"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2E57093D" w14:textId="7AB3433D"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(1,034)</w:t>
            </w:r>
          </w:p>
        </w:tc>
      </w:tr>
      <w:tr w:rsidR="004127AB" w:rsidRPr="008344E0" w14:paraId="662E849B" w14:textId="77777777">
        <w:trPr>
          <w:trHeight w:val="20"/>
        </w:trPr>
        <w:tc>
          <w:tcPr>
            <w:tcW w:w="1134" w:type="dxa"/>
            <w:tcBorders>
              <w:top w:val="single" w:sz="4" w:space="0" w:color="auto"/>
              <w:left w:val="single" w:sz="12" w:space="0" w:color="auto"/>
              <w:bottom w:val="single" w:sz="4" w:space="0" w:color="auto"/>
              <w:right w:val="single" w:sz="4" w:space="0" w:color="auto"/>
            </w:tcBorders>
            <w:noWrap/>
            <w:vAlign w:val="center"/>
            <w:hideMark/>
          </w:tcPr>
          <w:p w14:paraId="0FB39472" w14:textId="72F1BC02" w:rsidR="004127AB" w:rsidRPr="008344E0" w:rsidRDefault="004127AB" w:rsidP="004127AB">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w:t>
            </w:r>
            <w:r w:rsidRPr="008344E0">
              <w:rPr>
                <w:rFonts w:eastAsia="Times New Roman" w:cs="Times New Roman"/>
                <w:color w:val="000000"/>
                <w:kern w:val="0"/>
                <w:sz w:val="20"/>
                <w:szCs w:val="20"/>
                <w:lang w:eastAsia="en-GB"/>
                <w14:ligatures w14:val="none"/>
              </w:rPr>
              <w:t>5,772</w:t>
            </w:r>
            <w:r>
              <w:rPr>
                <w:rFonts w:eastAsia="Times New Roman" w:cs="Times New Roman"/>
                <w:color w:val="000000"/>
                <w:kern w:val="0"/>
                <w:sz w:val="20"/>
                <w:szCs w:val="20"/>
                <w:lang w:eastAsia="en-GB"/>
                <w14:ligatures w14:val="none"/>
              </w:rPr>
              <w:t>)</w:t>
            </w:r>
          </w:p>
        </w:tc>
        <w:tc>
          <w:tcPr>
            <w:tcW w:w="5117"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775283D2"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Contribution from Reserves</w:t>
            </w:r>
          </w:p>
        </w:tc>
        <w:tc>
          <w:tcPr>
            <w:tcW w:w="1137" w:type="dxa"/>
            <w:tcBorders>
              <w:top w:val="single" w:sz="4" w:space="0" w:color="auto"/>
              <w:left w:val="nil"/>
              <w:bottom w:val="single" w:sz="4" w:space="0" w:color="auto"/>
              <w:right w:val="single" w:sz="4" w:space="0" w:color="auto"/>
            </w:tcBorders>
            <w:noWrap/>
            <w:vAlign w:val="center"/>
            <w:hideMark/>
          </w:tcPr>
          <w:p w14:paraId="33980826" w14:textId="4A2764A9"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(2,497)</w:t>
            </w:r>
          </w:p>
        </w:tc>
        <w:tc>
          <w:tcPr>
            <w:tcW w:w="1134" w:type="dxa"/>
            <w:tcBorders>
              <w:top w:val="single" w:sz="4" w:space="0" w:color="auto"/>
              <w:left w:val="single" w:sz="12" w:space="0" w:color="auto"/>
              <w:bottom w:val="single" w:sz="4" w:space="0" w:color="auto"/>
              <w:right w:val="single" w:sz="4" w:space="0" w:color="auto"/>
            </w:tcBorders>
            <w:noWrap/>
            <w:vAlign w:val="center"/>
            <w:hideMark/>
          </w:tcPr>
          <w:p w14:paraId="6A7D7331" w14:textId="644D77A4"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(2,497)</w:t>
            </w:r>
          </w:p>
        </w:tc>
        <w:tc>
          <w:tcPr>
            <w:tcW w:w="1134" w:type="dxa"/>
            <w:tcBorders>
              <w:top w:val="single" w:sz="4" w:space="0" w:color="auto"/>
              <w:left w:val="single" w:sz="12" w:space="0" w:color="auto"/>
              <w:bottom w:val="single" w:sz="4" w:space="0" w:color="auto"/>
              <w:right w:val="single" w:sz="4" w:space="0" w:color="auto"/>
            </w:tcBorders>
            <w:noWrap/>
            <w:vAlign w:val="center"/>
            <w:hideMark/>
          </w:tcPr>
          <w:p w14:paraId="69B91363" w14:textId="0AF3BD07"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(2,497)</w:t>
            </w:r>
          </w:p>
        </w:tc>
        <w:tc>
          <w:tcPr>
            <w:tcW w:w="1134" w:type="dxa"/>
            <w:tcBorders>
              <w:top w:val="single" w:sz="4" w:space="0" w:color="auto"/>
              <w:left w:val="single" w:sz="12" w:space="0" w:color="auto"/>
              <w:bottom w:val="single" w:sz="4" w:space="0" w:color="auto"/>
              <w:right w:val="single" w:sz="12" w:space="0" w:color="auto"/>
            </w:tcBorders>
            <w:noWrap/>
            <w:vAlign w:val="center"/>
            <w:hideMark/>
          </w:tcPr>
          <w:p w14:paraId="7C29AF14" w14:textId="43A75EFA"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(2,497)</w:t>
            </w:r>
          </w:p>
        </w:tc>
      </w:tr>
      <w:tr w:rsidR="004127AB" w:rsidRPr="008344E0" w14:paraId="46CAC2EF" w14:textId="77777777">
        <w:trPr>
          <w:trHeight w:val="20"/>
        </w:trPr>
        <w:tc>
          <w:tcPr>
            <w:tcW w:w="1134" w:type="dxa"/>
            <w:tcBorders>
              <w:top w:val="nil"/>
              <w:left w:val="single" w:sz="12" w:space="0" w:color="auto"/>
              <w:bottom w:val="single" w:sz="4" w:space="0" w:color="auto"/>
              <w:right w:val="single" w:sz="4" w:space="0" w:color="auto"/>
            </w:tcBorders>
            <w:noWrap/>
            <w:vAlign w:val="center"/>
            <w:hideMark/>
          </w:tcPr>
          <w:p w14:paraId="21A20F58" w14:textId="6438C1F1" w:rsidR="004127AB" w:rsidRPr="008344E0" w:rsidRDefault="004127AB" w:rsidP="004127AB">
            <w:pPr>
              <w:jc w:val="right"/>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w:t>
            </w:r>
          </w:p>
        </w:tc>
        <w:tc>
          <w:tcPr>
            <w:tcW w:w="5117" w:type="dxa"/>
            <w:tcBorders>
              <w:top w:val="nil"/>
              <w:left w:val="single" w:sz="12" w:space="0" w:color="auto"/>
              <w:bottom w:val="single" w:sz="4" w:space="0" w:color="auto"/>
              <w:right w:val="single" w:sz="12" w:space="0" w:color="auto"/>
            </w:tcBorders>
            <w:shd w:val="clear" w:color="auto" w:fill="E8E8E8"/>
            <w:vAlign w:val="bottom"/>
            <w:hideMark/>
          </w:tcPr>
          <w:p w14:paraId="61335F0F" w14:textId="77777777" w:rsidR="004127AB" w:rsidRPr="008344E0" w:rsidRDefault="004127AB" w:rsidP="004127AB">
            <w:pPr>
              <w:rPr>
                <w:rFonts w:eastAsia="Times New Roman" w:cs="Times New Roman"/>
                <w:color w:val="000000"/>
                <w:kern w:val="0"/>
                <w:sz w:val="20"/>
                <w:szCs w:val="20"/>
                <w:lang w:eastAsia="en-GB"/>
                <w14:ligatures w14:val="none"/>
              </w:rPr>
            </w:pPr>
            <w:r w:rsidRPr="008344E0">
              <w:rPr>
                <w:rFonts w:eastAsia="Times New Roman" w:cs="Times New Roman"/>
                <w:color w:val="000000"/>
                <w:kern w:val="0"/>
                <w:sz w:val="20"/>
                <w:szCs w:val="20"/>
                <w:lang w:eastAsia="en-GB"/>
                <w14:ligatures w14:val="none"/>
              </w:rPr>
              <w:t>Contribution To Reserves</w:t>
            </w:r>
          </w:p>
        </w:tc>
        <w:tc>
          <w:tcPr>
            <w:tcW w:w="1137" w:type="dxa"/>
            <w:tcBorders>
              <w:top w:val="nil"/>
              <w:left w:val="nil"/>
              <w:bottom w:val="single" w:sz="4" w:space="0" w:color="auto"/>
              <w:right w:val="single" w:sz="4" w:space="0" w:color="auto"/>
            </w:tcBorders>
            <w:noWrap/>
            <w:vAlign w:val="center"/>
            <w:hideMark/>
          </w:tcPr>
          <w:p w14:paraId="0AD2B638" w14:textId="4AA159D8"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4,077</w:t>
            </w:r>
          </w:p>
        </w:tc>
        <w:tc>
          <w:tcPr>
            <w:tcW w:w="1134" w:type="dxa"/>
            <w:tcBorders>
              <w:top w:val="nil"/>
              <w:left w:val="single" w:sz="12" w:space="0" w:color="auto"/>
              <w:bottom w:val="single" w:sz="4" w:space="0" w:color="auto"/>
              <w:right w:val="single" w:sz="4" w:space="0" w:color="auto"/>
            </w:tcBorders>
            <w:noWrap/>
            <w:vAlign w:val="center"/>
            <w:hideMark/>
          </w:tcPr>
          <w:p w14:paraId="50A527CF" w14:textId="06B91EA2"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2,888</w:t>
            </w:r>
          </w:p>
        </w:tc>
        <w:tc>
          <w:tcPr>
            <w:tcW w:w="1134" w:type="dxa"/>
            <w:tcBorders>
              <w:top w:val="nil"/>
              <w:left w:val="single" w:sz="12" w:space="0" w:color="auto"/>
              <w:bottom w:val="single" w:sz="4" w:space="0" w:color="auto"/>
              <w:right w:val="single" w:sz="4" w:space="0" w:color="auto"/>
            </w:tcBorders>
            <w:noWrap/>
            <w:vAlign w:val="center"/>
            <w:hideMark/>
          </w:tcPr>
          <w:p w14:paraId="6AF50324" w14:textId="6D1238A0"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3,256</w:t>
            </w:r>
          </w:p>
        </w:tc>
        <w:tc>
          <w:tcPr>
            <w:tcW w:w="1134" w:type="dxa"/>
            <w:tcBorders>
              <w:top w:val="nil"/>
              <w:left w:val="single" w:sz="12" w:space="0" w:color="auto"/>
              <w:bottom w:val="single" w:sz="4" w:space="0" w:color="auto"/>
              <w:right w:val="single" w:sz="12" w:space="0" w:color="auto"/>
            </w:tcBorders>
            <w:noWrap/>
            <w:vAlign w:val="center"/>
            <w:hideMark/>
          </w:tcPr>
          <w:p w14:paraId="54867F34" w14:textId="04489C75" w:rsidR="004127AB" w:rsidRPr="008344E0" w:rsidRDefault="004127AB" w:rsidP="004127AB">
            <w:pPr>
              <w:jc w:val="right"/>
              <w:rPr>
                <w:rFonts w:eastAsia="Times New Roman" w:cs="Times New Roman"/>
                <w:color w:val="000000"/>
                <w:kern w:val="0"/>
                <w:sz w:val="20"/>
                <w:szCs w:val="20"/>
                <w:lang w:eastAsia="en-GB"/>
                <w14:ligatures w14:val="none"/>
              </w:rPr>
            </w:pPr>
            <w:r>
              <w:rPr>
                <w:color w:val="000000"/>
                <w:sz w:val="20"/>
                <w:szCs w:val="20"/>
              </w:rPr>
              <w:t>3,531</w:t>
            </w:r>
          </w:p>
        </w:tc>
      </w:tr>
      <w:tr w:rsidR="00E01B58" w:rsidRPr="008344E0" w14:paraId="4F6AE109" w14:textId="77777777" w:rsidTr="00A77FCF">
        <w:trPr>
          <w:trHeight w:val="20"/>
        </w:trPr>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6BA52AE1" w14:textId="08A7FF2F" w:rsidR="00E01B58" w:rsidRPr="008344E0" w:rsidRDefault="00E01B58" w:rsidP="00E01B58">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w:t>
            </w:r>
          </w:p>
        </w:tc>
        <w:tc>
          <w:tcPr>
            <w:tcW w:w="511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A6AF4B2" w14:textId="134DAC84" w:rsidR="00E01B58" w:rsidRPr="008344E0" w:rsidRDefault="00E01B58" w:rsidP="00E01B58">
            <w:pPr>
              <w:rPr>
                <w:rFonts w:eastAsia="Times New Roman" w:cs="Times New Roman"/>
                <w:b/>
                <w:bCs/>
                <w:color w:val="000000"/>
                <w:kern w:val="0"/>
                <w:sz w:val="20"/>
                <w:szCs w:val="20"/>
                <w:lang w:eastAsia="en-GB"/>
                <w14:ligatures w14:val="none"/>
              </w:rPr>
            </w:pPr>
            <w:r w:rsidRPr="008344E0">
              <w:rPr>
                <w:rFonts w:eastAsia="Times New Roman" w:cs="Times New Roman"/>
                <w:b/>
                <w:bCs/>
                <w:color w:val="000000"/>
                <w:kern w:val="0"/>
                <w:sz w:val="20"/>
                <w:szCs w:val="20"/>
                <w:lang w:eastAsia="en-GB"/>
                <w14:ligatures w14:val="none"/>
              </w:rPr>
              <w:t>Net Expenditure after Contribution to/(from) Reserves</w:t>
            </w:r>
          </w:p>
        </w:tc>
        <w:tc>
          <w:tcPr>
            <w:tcW w:w="1137" w:type="dxa"/>
            <w:tcBorders>
              <w:top w:val="single" w:sz="12" w:space="0" w:color="auto"/>
              <w:left w:val="nil"/>
              <w:bottom w:val="single" w:sz="12" w:space="0" w:color="auto"/>
              <w:right w:val="single" w:sz="4" w:space="0" w:color="auto"/>
            </w:tcBorders>
            <w:shd w:val="clear" w:color="auto" w:fill="E8E8E8"/>
            <w:noWrap/>
            <w:vAlign w:val="bottom"/>
            <w:hideMark/>
          </w:tcPr>
          <w:p w14:paraId="343A2D5A" w14:textId="767C0DCB" w:rsidR="00E01B58" w:rsidRPr="008344E0" w:rsidRDefault="00E01B58" w:rsidP="00E01B58">
            <w:pPr>
              <w:jc w:val="right"/>
              <w:rPr>
                <w:rFonts w:eastAsia="Times New Roman" w:cs="Times New Roman"/>
                <w:color w:val="000000"/>
                <w:kern w:val="0"/>
                <w:sz w:val="20"/>
                <w:szCs w:val="20"/>
                <w:lang w:eastAsia="en-GB"/>
                <w14:ligatures w14:val="none"/>
              </w:rPr>
            </w:pPr>
            <w:r>
              <w:rPr>
                <w:color w:val="000000"/>
                <w:sz w:val="20"/>
                <w:szCs w:val="20"/>
              </w:rPr>
              <w:t>-</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6EAA39F" w14:textId="26E1700D" w:rsidR="00E01B58" w:rsidRPr="008344E0" w:rsidRDefault="00E01B58" w:rsidP="00E01B58">
            <w:pPr>
              <w:jc w:val="right"/>
              <w:rPr>
                <w:rFonts w:eastAsia="Times New Roman" w:cs="Times New Roman"/>
                <w:color w:val="000000"/>
                <w:kern w:val="0"/>
                <w:sz w:val="20"/>
                <w:szCs w:val="20"/>
                <w:lang w:eastAsia="en-GB"/>
                <w14:ligatures w14:val="none"/>
              </w:rPr>
            </w:pPr>
            <w:r>
              <w:rPr>
                <w:color w:val="000000"/>
                <w:sz w:val="20"/>
                <w:szCs w:val="20"/>
              </w:rPr>
              <w:t>-</w:t>
            </w:r>
          </w:p>
        </w:tc>
        <w:tc>
          <w:tcPr>
            <w:tcW w:w="1134"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293E101" w14:textId="02B53CB6" w:rsidR="00E01B58" w:rsidRPr="008344E0" w:rsidRDefault="00E01B58" w:rsidP="00E01B58">
            <w:pPr>
              <w:jc w:val="right"/>
              <w:rPr>
                <w:rFonts w:eastAsia="Times New Roman" w:cs="Times New Roman"/>
                <w:color w:val="000000"/>
                <w:kern w:val="0"/>
                <w:sz w:val="20"/>
                <w:szCs w:val="20"/>
                <w:lang w:eastAsia="en-GB"/>
                <w14:ligatures w14:val="none"/>
              </w:rPr>
            </w:pPr>
            <w:r>
              <w:rPr>
                <w:color w:val="000000"/>
                <w:sz w:val="20"/>
                <w:szCs w:val="20"/>
              </w:rPr>
              <w:t>-</w:t>
            </w:r>
          </w:p>
        </w:tc>
        <w:tc>
          <w:tcPr>
            <w:tcW w:w="1134"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E2BBFD3" w14:textId="241ABC75" w:rsidR="00E01B58" w:rsidRPr="008344E0" w:rsidRDefault="00E01B58" w:rsidP="00E01B58">
            <w:pPr>
              <w:jc w:val="right"/>
              <w:rPr>
                <w:rFonts w:eastAsia="Times New Roman" w:cs="Times New Roman"/>
                <w:color w:val="000000"/>
                <w:kern w:val="0"/>
                <w:sz w:val="20"/>
                <w:szCs w:val="20"/>
                <w:lang w:eastAsia="en-GB"/>
                <w14:ligatures w14:val="none"/>
              </w:rPr>
            </w:pPr>
            <w:r>
              <w:rPr>
                <w:color w:val="000000"/>
                <w:sz w:val="20"/>
                <w:szCs w:val="20"/>
              </w:rPr>
              <w:t>-</w:t>
            </w:r>
          </w:p>
        </w:tc>
      </w:tr>
    </w:tbl>
    <w:p w14:paraId="52CB2B74" w14:textId="0FF8BDB0" w:rsidR="009E61F4" w:rsidRDefault="009E61F4" w:rsidP="00D06EAE">
      <w:pPr>
        <w:pStyle w:val="ListParagraph"/>
        <w:spacing w:line="276" w:lineRule="auto"/>
        <w:ind w:left="0" w:right="140"/>
        <w:rPr>
          <w:rFonts w:ascii="Inter" w:hAnsi="Inter" w:cs="Arial"/>
        </w:rPr>
      </w:pPr>
    </w:p>
    <w:p w14:paraId="52A4D9F5" w14:textId="77777777" w:rsidR="005E1434" w:rsidRDefault="005E1434" w:rsidP="005E1434">
      <w:pPr>
        <w:pStyle w:val="ListParagraph"/>
        <w:spacing w:line="276" w:lineRule="auto"/>
        <w:ind w:left="567" w:right="140"/>
        <w:rPr>
          <w:rFonts w:ascii="Inter" w:hAnsi="Inter" w:cs="Arial"/>
        </w:rPr>
      </w:pPr>
    </w:p>
    <w:p w14:paraId="58C969FA" w14:textId="6B7F2D0F" w:rsidR="00D06EAE" w:rsidRPr="00A553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 xml:space="preserve">The </w:t>
      </w:r>
      <w:r w:rsidR="007369B1" w:rsidRPr="2DFE4DF5">
        <w:rPr>
          <w:rFonts w:ascii="Inter" w:hAnsi="Inter" w:cs="Arial"/>
        </w:rPr>
        <w:t xml:space="preserve">details provided for the Directorates in the table above are net of </w:t>
      </w:r>
      <w:r w:rsidR="68529BCF" w:rsidRPr="2DFE4DF5">
        <w:rPr>
          <w:rFonts w:ascii="Inter" w:hAnsi="Inter" w:cs="Arial"/>
        </w:rPr>
        <w:t>the ‘</w:t>
      </w:r>
      <w:r w:rsidR="03B5A94E" w:rsidRPr="2DFE4DF5">
        <w:rPr>
          <w:rFonts w:ascii="Inter" w:hAnsi="Inter" w:cs="Arial"/>
        </w:rPr>
        <w:t>c</w:t>
      </w:r>
      <w:r w:rsidR="007369B1" w:rsidRPr="2DFE4DF5">
        <w:rPr>
          <w:rFonts w:ascii="Inter" w:hAnsi="Inter" w:cs="Arial"/>
        </w:rPr>
        <w:t xml:space="preserve">entral </w:t>
      </w:r>
      <w:r w:rsidR="3343EBBB" w:rsidRPr="2DFE4DF5">
        <w:rPr>
          <w:rFonts w:ascii="Inter" w:hAnsi="Inter" w:cs="Arial"/>
        </w:rPr>
        <w:t>s</w:t>
      </w:r>
      <w:r w:rsidR="007369B1" w:rsidRPr="2DFE4DF5">
        <w:rPr>
          <w:rFonts w:ascii="Inter" w:hAnsi="Inter" w:cs="Arial"/>
        </w:rPr>
        <w:t xml:space="preserve">upport </w:t>
      </w:r>
      <w:r w:rsidR="5AA5EDB6" w:rsidRPr="2DFE4DF5">
        <w:rPr>
          <w:rFonts w:ascii="Inter" w:hAnsi="Inter" w:cs="Arial"/>
        </w:rPr>
        <w:t>r</w:t>
      </w:r>
      <w:r w:rsidR="007369B1" w:rsidRPr="2DFE4DF5">
        <w:rPr>
          <w:rFonts w:ascii="Inter" w:hAnsi="Inter" w:cs="Arial"/>
        </w:rPr>
        <w:t>echarge</w:t>
      </w:r>
      <w:r w:rsidR="3E930423" w:rsidRPr="2DFE4DF5">
        <w:rPr>
          <w:rFonts w:ascii="Inter" w:hAnsi="Inter" w:cs="Arial"/>
        </w:rPr>
        <w:t>’</w:t>
      </w:r>
      <w:r w:rsidR="007369B1" w:rsidRPr="2DFE4DF5">
        <w:rPr>
          <w:rFonts w:ascii="Inter" w:hAnsi="Inter" w:cs="Arial"/>
        </w:rPr>
        <w:t xml:space="preserve"> that attributes costs associated with supporting delivery of both </w:t>
      </w:r>
      <w:r w:rsidR="233AB76E" w:rsidRPr="2DFE4DF5">
        <w:rPr>
          <w:rFonts w:ascii="Inter" w:hAnsi="Inter" w:cs="Arial"/>
        </w:rPr>
        <w:t>r</w:t>
      </w:r>
      <w:r w:rsidR="007369B1" w:rsidRPr="2DFE4DF5">
        <w:rPr>
          <w:rFonts w:ascii="Inter" w:hAnsi="Inter" w:cs="Arial"/>
        </w:rPr>
        <w:t xml:space="preserve">evenue and </w:t>
      </w:r>
      <w:r w:rsidR="235D9C77" w:rsidRPr="2DFE4DF5">
        <w:rPr>
          <w:rFonts w:ascii="Inter" w:hAnsi="Inter" w:cs="Arial"/>
        </w:rPr>
        <w:t>c</w:t>
      </w:r>
      <w:r w:rsidR="007369B1" w:rsidRPr="2DFE4DF5">
        <w:rPr>
          <w:rFonts w:ascii="Inter" w:hAnsi="Inter" w:cs="Arial"/>
        </w:rPr>
        <w:t xml:space="preserve">apital programmes. </w:t>
      </w:r>
      <w:r w:rsidR="007369B1" w:rsidRPr="00732178">
        <w:rPr>
          <w:rFonts w:ascii="Inter" w:hAnsi="Inter" w:cs="Arial"/>
          <w:b/>
          <w:bCs/>
        </w:rPr>
        <w:t xml:space="preserve">Appendix </w:t>
      </w:r>
      <w:r w:rsidR="006F4910" w:rsidRPr="00732178">
        <w:rPr>
          <w:rFonts w:ascii="Inter" w:hAnsi="Inter" w:cs="Arial"/>
          <w:b/>
          <w:bCs/>
        </w:rPr>
        <w:t>1</w:t>
      </w:r>
      <w:r w:rsidR="007369B1" w:rsidRPr="2DFE4DF5">
        <w:rPr>
          <w:rFonts w:ascii="Inter" w:hAnsi="Inter" w:cs="Arial"/>
        </w:rPr>
        <w:t xml:space="preserve"> provides a more detailed </w:t>
      </w:r>
      <w:r w:rsidR="5394BC1D" w:rsidRPr="2DFE4DF5">
        <w:rPr>
          <w:rFonts w:ascii="Inter" w:hAnsi="Inter" w:cs="Arial"/>
        </w:rPr>
        <w:t>b</w:t>
      </w:r>
      <w:r w:rsidR="007369B1" w:rsidRPr="2DFE4DF5">
        <w:rPr>
          <w:rFonts w:ascii="Inter" w:hAnsi="Inter" w:cs="Arial"/>
        </w:rPr>
        <w:t xml:space="preserve">reakdown </w:t>
      </w:r>
      <w:r w:rsidR="243EDBEF" w:rsidRPr="2DFE4DF5">
        <w:rPr>
          <w:rFonts w:ascii="Inter" w:hAnsi="Inter" w:cs="Arial"/>
        </w:rPr>
        <w:t>of</w:t>
      </w:r>
      <w:r w:rsidR="007369B1" w:rsidRPr="2DFE4DF5">
        <w:rPr>
          <w:rFonts w:ascii="Inter" w:hAnsi="Inter" w:cs="Arial"/>
        </w:rPr>
        <w:t xml:space="preserve"> </w:t>
      </w:r>
      <w:r w:rsidR="009F21DE">
        <w:rPr>
          <w:rFonts w:ascii="Inter" w:hAnsi="Inter" w:cs="Arial"/>
        </w:rPr>
        <w:lastRenderedPageBreak/>
        <w:t>D</w:t>
      </w:r>
      <w:r w:rsidR="007369B1" w:rsidRPr="2DFE4DF5">
        <w:rPr>
          <w:rFonts w:ascii="Inter" w:hAnsi="Inter" w:cs="Arial"/>
        </w:rPr>
        <w:t>irectorate</w:t>
      </w:r>
      <w:r w:rsidR="71DEF37C" w:rsidRPr="2DFE4DF5">
        <w:rPr>
          <w:rFonts w:ascii="Inter" w:hAnsi="Inter" w:cs="Arial"/>
        </w:rPr>
        <w:t>s including</w:t>
      </w:r>
      <w:r w:rsidR="007369B1" w:rsidRPr="2DFE4DF5">
        <w:rPr>
          <w:rFonts w:ascii="Inter" w:hAnsi="Inter" w:cs="Arial"/>
        </w:rPr>
        <w:t xml:space="preserve"> the </w:t>
      </w:r>
      <w:r w:rsidR="300B83DB" w:rsidRPr="2DFE4DF5">
        <w:rPr>
          <w:rFonts w:ascii="Inter" w:hAnsi="Inter" w:cs="Arial"/>
        </w:rPr>
        <w:t>g</w:t>
      </w:r>
      <w:r w:rsidR="007369B1" w:rsidRPr="2DFE4DF5">
        <w:rPr>
          <w:rFonts w:ascii="Inter" w:hAnsi="Inter" w:cs="Arial"/>
        </w:rPr>
        <w:t xml:space="preserve">ross expenditure, </w:t>
      </w:r>
      <w:r w:rsidR="4D312384" w:rsidRPr="2DFE4DF5">
        <w:rPr>
          <w:rFonts w:ascii="Inter" w:hAnsi="Inter" w:cs="Arial"/>
        </w:rPr>
        <w:t>specific grant</w:t>
      </w:r>
      <w:r w:rsidR="007369B1" w:rsidRPr="2DFE4DF5">
        <w:rPr>
          <w:rFonts w:ascii="Inter" w:hAnsi="Inter" w:cs="Arial"/>
        </w:rPr>
        <w:t xml:space="preserve"> and </w:t>
      </w:r>
      <w:r w:rsidR="4D312384" w:rsidRPr="2DFE4DF5">
        <w:rPr>
          <w:rFonts w:ascii="Inter" w:hAnsi="Inter" w:cs="Arial"/>
        </w:rPr>
        <w:t>other i</w:t>
      </w:r>
      <w:r w:rsidR="007369B1" w:rsidRPr="2DFE4DF5">
        <w:rPr>
          <w:rFonts w:ascii="Inter" w:hAnsi="Inter" w:cs="Arial"/>
        </w:rPr>
        <w:t xml:space="preserve">ncome and </w:t>
      </w:r>
      <w:r w:rsidR="2EF18EB2" w:rsidRPr="2DFE4DF5">
        <w:rPr>
          <w:rFonts w:ascii="Inter" w:hAnsi="Inter" w:cs="Arial"/>
        </w:rPr>
        <w:t>r</w:t>
      </w:r>
      <w:r w:rsidR="007369B1" w:rsidRPr="2DFE4DF5">
        <w:rPr>
          <w:rFonts w:ascii="Inter" w:hAnsi="Inter" w:cs="Arial"/>
        </w:rPr>
        <w:t>echarges associated with the delivery of the Directorate activities</w:t>
      </w:r>
      <w:r w:rsidRPr="2DFE4DF5">
        <w:rPr>
          <w:rFonts w:ascii="Inter" w:hAnsi="Inter" w:cs="Arial"/>
        </w:rPr>
        <w:t>.</w:t>
      </w:r>
    </w:p>
    <w:p w14:paraId="41F381CC" w14:textId="77777777" w:rsidR="00D06EAE" w:rsidRPr="009D7A02" w:rsidRDefault="00D06EAE" w:rsidP="00A55302">
      <w:pPr>
        <w:pStyle w:val="ListParagraph"/>
        <w:spacing w:line="276" w:lineRule="auto"/>
        <w:ind w:left="567" w:right="140" w:hanging="567"/>
        <w:rPr>
          <w:rFonts w:ascii="Inter" w:hAnsi="Inter" w:cs="Arial"/>
        </w:rPr>
      </w:pPr>
    </w:p>
    <w:p w14:paraId="35C7511E" w14:textId="3C786887" w:rsidR="00D06EAE"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 xml:space="preserve">For the purposes of the draft budget and </w:t>
      </w:r>
      <w:r w:rsidR="00094965" w:rsidRPr="2DFE4DF5">
        <w:rPr>
          <w:rFonts w:ascii="Inter" w:hAnsi="Inter" w:cs="Arial"/>
        </w:rPr>
        <w:t>MTFP</w:t>
      </w:r>
      <w:r w:rsidRPr="2DFE4DF5">
        <w:rPr>
          <w:rFonts w:ascii="Inter" w:hAnsi="Inter" w:cs="Arial"/>
        </w:rPr>
        <w:t xml:space="preserve">, grant expenditure is budgeted at the grant income amount level. Eligible revenue costs associated with the delivery of grant activity (e.g. finance, legal, procurement and HR costs) are allocated </w:t>
      </w:r>
      <w:r w:rsidR="7E1163EE" w:rsidRPr="2DFE4DF5">
        <w:rPr>
          <w:rFonts w:ascii="Inter" w:hAnsi="Inter" w:cs="Arial"/>
        </w:rPr>
        <w:t>in</w:t>
      </w:r>
      <w:r w:rsidRPr="2DFE4DF5">
        <w:rPr>
          <w:rFonts w:ascii="Inter" w:hAnsi="Inter" w:cs="Arial"/>
        </w:rPr>
        <w:t xml:space="preserve">directly to grant activity via </w:t>
      </w:r>
      <w:r w:rsidR="330EF93E" w:rsidRPr="2DFE4DF5">
        <w:rPr>
          <w:rFonts w:ascii="Inter" w:hAnsi="Inter" w:cs="Arial"/>
        </w:rPr>
        <w:t xml:space="preserve">a new </w:t>
      </w:r>
      <w:r w:rsidR="1D63E71A" w:rsidRPr="2DFE4DF5">
        <w:rPr>
          <w:rFonts w:ascii="Inter" w:hAnsi="Inter" w:cs="Arial"/>
        </w:rPr>
        <w:t>ce</w:t>
      </w:r>
      <w:r w:rsidR="00094965" w:rsidRPr="2DFE4DF5">
        <w:rPr>
          <w:rFonts w:ascii="Inter" w:hAnsi="Inter" w:cs="Arial"/>
        </w:rPr>
        <w:t xml:space="preserve">ntral </w:t>
      </w:r>
      <w:r w:rsidR="76F31AE2" w:rsidRPr="2DFE4DF5">
        <w:rPr>
          <w:rFonts w:ascii="Inter" w:hAnsi="Inter" w:cs="Arial"/>
        </w:rPr>
        <w:t>s</w:t>
      </w:r>
      <w:r w:rsidR="00094965" w:rsidRPr="2DFE4DF5">
        <w:rPr>
          <w:rFonts w:ascii="Inter" w:hAnsi="Inter" w:cs="Arial"/>
        </w:rPr>
        <w:t xml:space="preserve">ervices </w:t>
      </w:r>
      <w:r w:rsidR="08435925" w:rsidRPr="2DFE4DF5">
        <w:rPr>
          <w:rFonts w:ascii="Inter" w:hAnsi="Inter" w:cs="Arial"/>
        </w:rPr>
        <w:t>r</w:t>
      </w:r>
      <w:r w:rsidR="00094965" w:rsidRPr="2DFE4DF5">
        <w:rPr>
          <w:rFonts w:ascii="Inter" w:hAnsi="Inter" w:cs="Arial"/>
        </w:rPr>
        <w:t>echarge</w:t>
      </w:r>
      <w:r w:rsidRPr="2DFE4DF5">
        <w:rPr>
          <w:rFonts w:ascii="Inter" w:hAnsi="Inter" w:cs="Arial"/>
        </w:rPr>
        <w:t xml:space="preserve"> mechanism</w:t>
      </w:r>
      <w:r w:rsidR="070A79AA" w:rsidRPr="2DFE4DF5">
        <w:rPr>
          <w:rFonts w:ascii="Inter" w:hAnsi="Inter" w:cs="Arial"/>
        </w:rPr>
        <w:t xml:space="preserve"> (CSR)</w:t>
      </w:r>
      <w:r w:rsidRPr="2DFE4DF5">
        <w:rPr>
          <w:rFonts w:ascii="Inter" w:hAnsi="Inter" w:cs="Arial"/>
        </w:rPr>
        <w:t>.</w:t>
      </w:r>
      <w:r w:rsidR="4A41B1AA" w:rsidRPr="2DFE4DF5">
        <w:rPr>
          <w:rFonts w:ascii="Inter" w:hAnsi="Inter" w:cs="Arial"/>
        </w:rPr>
        <w:t xml:space="preserve">  This mechanism has been discussed and agreed with the relevant Directors responsible </w:t>
      </w:r>
      <w:r w:rsidR="44559C45" w:rsidRPr="2DFE4DF5">
        <w:rPr>
          <w:rFonts w:ascii="Inter" w:hAnsi="Inter" w:cs="Arial"/>
        </w:rPr>
        <w:t>to ensure</w:t>
      </w:r>
      <w:r w:rsidR="4A41B1AA" w:rsidRPr="2DFE4DF5">
        <w:rPr>
          <w:rFonts w:ascii="Inter" w:hAnsi="Inter" w:cs="Arial"/>
        </w:rPr>
        <w:t xml:space="preserve"> compliance with the grant terms and conditions.</w:t>
      </w:r>
    </w:p>
    <w:p w14:paraId="5F2BA031" w14:textId="77777777" w:rsidR="001D1693" w:rsidRPr="001D1693" w:rsidRDefault="001D1693" w:rsidP="001D1693">
      <w:pPr>
        <w:pStyle w:val="ListParagraph"/>
        <w:rPr>
          <w:rFonts w:ascii="Inter" w:hAnsi="Inter" w:cs="Arial"/>
        </w:rPr>
      </w:pPr>
    </w:p>
    <w:p w14:paraId="16DE09D3" w14:textId="70AA075A" w:rsidR="001D1693" w:rsidRPr="009D7A02" w:rsidRDefault="3290EC95"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W</w:t>
      </w:r>
      <w:r w:rsidR="00600DC6" w:rsidRPr="2DFE4DF5">
        <w:rPr>
          <w:rFonts w:ascii="Inter" w:hAnsi="Inter" w:cs="Arial"/>
        </w:rPr>
        <w:t>ithin the Operations, Legal and Governance, and Finance directorates there are additional one</w:t>
      </w:r>
      <w:r w:rsidR="27C0AA60" w:rsidRPr="2DFE4DF5">
        <w:rPr>
          <w:rFonts w:ascii="Inter" w:hAnsi="Inter" w:cs="Arial"/>
        </w:rPr>
        <w:t>-</w:t>
      </w:r>
      <w:r w:rsidR="00600DC6" w:rsidRPr="2DFE4DF5">
        <w:rPr>
          <w:rFonts w:ascii="Inter" w:hAnsi="Inter" w:cs="Arial"/>
        </w:rPr>
        <w:t>off ‘transformation’ budgets allocated in 2026/27 of £750k, £400k and £368k respectively</w:t>
      </w:r>
      <w:r w:rsidR="2EF52C3C" w:rsidRPr="2DFE4DF5">
        <w:rPr>
          <w:rFonts w:ascii="Inter" w:hAnsi="Inter" w:cs="Arial"/>
        </w:rPr>
        <w:t xml:space="preserve"> (total £1.518m)</w:t>
      </w:r>
      <w:r w:rsidR="00600DC6" w:rsidRPr="2DFE4DF5">
        <w:rPr>
          <w:rFonts w:ascii="Inter" w:hAnsi="Inter" w:cs="Arial"/>
        </w:rPr>
        <w:t>. This is a one</w:t>
      </w:r>
      <w:r w:rsidR="492FC98F" w:rsidRPr="2DFE4DF5">
        <w:rPr>
          <w:rFonts w:ascii="Inter" w:hAnsi="Inter" w:cs="Arial"/>
        </w:rPr>
        <w:t>-</w:t>
      </w:r>
      <w:r w:rsidR="00600DC6" w:rsidRPr="2DFE4DF5">
        <w:rPr>
          <w:rFonts w:ascii="Inter" w:hAnsi="Inter" w:cs="Arial"/>
        </w:rPr>
        <w:t xml:space="preserve">off budget allocation to support systems development and to fund interim additional agency staff as TVCA progresses through the </w:t>
      </w:r>
      <w:r w:rsidR="1309FD6C" w:rsidRPr="2DFE4DF5">
        <w:rPr>
          <w:rFonts w:ascii="Inter" w:hAnsi="Inter" w:cs="Arial"/>
        </w:rPr>
        <w:t>transformation and</w:t>
      </w:r>
      <w:r w:rsidR="00600DC6" w:rsidRPr="2DFE4DF5">
        <w:rPr>
          <w:rFonts w:ascii="Inter" w:hAnsi="Inter" w:cs="Arial"/>
        </w:rPr>
        <w:t xml:space="preserve"> improvement programme.</w:t>
      </w:r>
    </w:p>
    <w:p w14:paraId="3A7FB5DA" w14:textId="77777777" w:rsidR="00D06EAE" w:rsidRPr="009D7A02" w:rsidRDefault="00D06EAE" w:rsidP="00A55302">
      <w:pPr>
        <w:pStyle w:val="ListParagraph"/>
        <w:spacing w:line="276" w:lineRule="auto"/>
        <w:ind w:left="567" w:right="140" w:hanging="567"/>
        <w:rPr>
          <w:rFonts w:ascii="Inter" w:hAnsi="Inter" w:cs="Arial"/>
        </w:rPr>
      </w:pPr>
    </w:p>
    <w:p w14:paraId="507050C0" w14:textId="22F758A5"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 xml:space="preserve">As can be seen from the MTFP table above, after the initial increase from 2025/26 to 2026/27 (see revenue budget section below), interest payable remains stable over the remainder of the MTFP period.  This is because borrowing being undertaken on an annuity basis (which results in reducing revenue interest cost over the period of the loan) and those loans taken out on a maturity interest have interest elements static over the period of the loan.  </w:t>
      </w:r>
    </w:p>
    <w:p w14:paraId="7FD6A672" w14:textId="77777777" w:rsidR="00D06EAE" w:rsidRPr="009D7A02" w:rsidRDefault="00D06EAE" w:rsidP="00A55302">
      <w:pPr>
        <w:pStyle w:val="ListParagraph"/>
        <w:spacing w:line="276" w:lineRule="auto"/>
        <w:ind w:left="567" w:right="140" w:hanging="567"/>
        <w:rPr>
          <w:rFonts w:ascii="Inter" w:hAnsi="Inter" w:cs="Arial"/>
        </w:rPr>
      </w:pPr>
    </w:p>
    <w:p w14:paraId="33221FB5" w14:textId="5F046252" w:rsidR="00266CE1" w:rsidRPr="009D7A02" w:rsidRDefault="00D06EAE" w:rsidP="3FC8AECE">
      <w:pPr>
        <w:spacing w:line="276" w:lineRule="auto"/>
        <w:ind w:right="140" w:firstLine="567"/>
        <w:rPr>
          <w:rFonts w:ascii="Inter" w:hAnsi="Inter" w:cs="Arial"/>
          <w:b/>
        </w:rPr>
      </w:pPr>
      <w:r w:rsidRPr="00A55302">
        <w:rPr>
          <w:rFonts w:ascii="Inter" w:hAnsi="Inter" w:cs="Arial"/>
          <w:b/>
          <w:bCs/>
        </w:rPr>
        <w:t xml:space="preserve">Enterprise Zone Business Rates </w:t>
      </w:r>
      <w:r w:rsidR="005151AB" w:rsidRPr="00A55302">
        <w:rPr>
          <w:rFonts w:ascii="Inter" w:hAnsi="Inter" w:cs="Arial"/>
          <w:b/>
          <w:bCs/>
        </w:rPr>
        <w:t>I</w:t>
      </w:r>
      <w:r w:rsidRPr="00A55302">
        <w:rPr>
          <w:rFonts w:ascii="Inter" w:hAnsi="Inter" w:cs="Arial"/>
          <w:b/>
          <w:bCs/>
        </w:rPr>
        <w:t>ncome</w:t>
      </w:r>
    </w:p>
    <w:p w14:paraId="1C216EC6" w14:textId="3033F99C"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 xml:space="preserve">The budget has increased by c£2.9m for 2026/27.  However, as can be seen from the </w:t>
      </w:r>
      <w:r w:rsidR="00094965" w:rsidRPr="2DFE4DF5">
        <w:rPr>
          <w:rFonts w:ascii="Inter" w:hAnsi="Inter" w:cs="Arial"/>
        </w:rPr>
        <w:t>MTFP</w:t>
      </w:r>
      <w:r w:rsidRPr="2DFE4DF5">
        <w:rPr>
          <w:rFonts w:ascii="Inter" w:hAnsi="Inter" w:cs="Arial"/>
        </w:rPr>
        <w:t xml:space="preserve"> table, this is a one-off increase due to the inclusion in the draft budget of an estimate of back-dated business rates that will be due to the Authority.</w:t>
      </w:r>
    </w:p>
    <w:p w14:paraId="49A368D0" w14:textId="77777777" w:rsidR="00D06EAE" w:rsidRPr="009D7A02" w:rsidRDefault="00D06EAE" w:rsidP="00267B7A">
      <w:pPr>
        <w:pStyle w:val="ListParagraph"/>
        <w:spacing w:line="276" w:lineRule="auto"/>
        <w:ind w:left="567" w:right="140" w:hanging="567"/>
        <w:rPr>
          <w:rFonts w:ascii="Inter" w:hAnsi="Inter" w:cs="Arial"/>
        </w:rPr>
      </w:pPr>
    </w:p>
    <w:p w14:paraId="7042EF2C" w14:textId="504478FF" w:rsidR="00266CE1" w:rsidRPr="00266CE1" w:rsidRDefault="00D06EAE" w:rsidP="3FC8AECE">
      <w:pPr>
        <w:spacing w:line="276" w:lineRule="auto"/>
        <w:ind w:right="140" w:firstLine="567"/>
        <w:rPr>
          <w:rFonts w:ascii="Inter" w:hAnsi="Inter" w:cs="Arial"/>
        </w:rPr>
      </w:pPr>
      <w:r w:rsidRPr="00BE2502">
        <w:rPr>
          <w:rFonts w:ascii="Inter" w:hAnsi="Inter" w:cs="Arial"/>
          <w:b/>
          <w:bCs/>
        </w:rPr>
        <w:t>MTFP Assumptions and Estimates</w:t>
      </w:r>
    </w:p>
    <w:p w14:paraId="0EF58537" w14:textId="1D336B5F"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As explained above, TVCA currently only has certainty over its £15m annual devolution fund monies and Mayoral Capacity Funding (currently £1</w:t>
      </w:r>
      <w:r w:rsidR="1184A3FC" w:rsidRPr="2DFE4DF5">
        <w:rPr>
          <w:rFonts w:ascii="Inter" w:hAnsi="Inter" w:cs="Arial"/>
        </w:rPr>
        <w:t>.5</w:t>
      </w:r>
      <w:r w:rsidRPr="2DFE4DF5">
        <w:rPr>
          <w:rFonts w:ascii="Inter" w:hAnsi="Inter" w:cs="Arial"/>
        </w:rPr>
        <w:t xml:space="preserve">m) </w:t>
      </w:r>
      <w:r w:rsidR="40288B16" w:rsidRPr="2DFE4DF5">
        <w:rPr>
          <w:rFonts w:ascii="Inter" w:hAnsi="Inter" w:cs="Arial"/>
        </w:rPr>
        <w:t xml:space="preserve">now confirmed in the </w:t>
      </w:r>
      <w:r w:rsidRPr="2DFE4DF5">
        <w:rPr>
          <w:rFonts w:ascii="Inter" w:hAnsi="Inter" w:cs="Arial"/>
        </w:rPr>
        <w:t>provision</w:t>
      </w:r>
      <w:r w:rsidR="00D3758F">
        <w:rPr>
          <w:rFonts w:ascii="Inter" w:hAnsi="Inter" w:cs="Arial"/>
        </w:rPr>
        <w:t>al</w:t>
      </w:r>
      <w:r w:rsidRPr="2DFE4DF5">
        <w:rPr>
          <w:rFonts w:ascii="Inter" w:hAnsi="Inter" w:cs="Arial"/>
        </w:rPr>
        <w:t xml:space="preserve"> </w:t>
      </w:r>
      <w:r w:rsidR="40288B16" w:rsidRPr="2DFE4DF5">
        <w:rPr>
          <w:rFonts w:ascii="Inter" w:hAnsi="Inter" w:cs="Arial"/>
        </w:rPr>
        <w:t>Local Government Settlement announced on 19 December 2025</w:t>
      </w:r>
      <w:r w:rsidRPr="2DFE4DF5">
        <w:rPr>
          <w:rFonts w:ascii="Inter" w:hAnsi="Inter" w:cs="Arial"/>
        </w:rPr>
        <w:t>.  The draft MTFP above assumes that these funding streams continue, and at their 202</w:t>
      </w:r>
      <w:r w:rsidR="7CEC8A4B" w:rsidRPr="2DFE4DF5">
        <w:rPr>
          <w:rFonts w:ascii="Inter" w:hAnsi="Inter" w:cs="Arial"/>
        </w:rPr>
        <w:t>6</w:t>
      </w:r>
      <w:r w:rsidRPr="2DFE4DF5">
        <w:rPr>
          <w:rFonts w:ascii="Inter" w:hAnsi="Inter" w:cs="Arial"/>
        </w:rPr>
        <w:t>/2</w:t>
      </w:r>
      <w:r w:rsidR="3B3C72EE" w:rsidRPr="2DFE4DF5">
        <w:rPr>
          <w:rFonts w:ascii="Inter" w:hAnsi="Inter" w:cs="Arial"/>
        </w:rPr>
        <w:t>7</w:t>
      </w:r>
      <w:r w:rsidRPr="2DFE4DF5">
        <w:rPr>
          <w:rFonts w:ascii="Inter" w:hAnsi="Inter" w:cs="Arial"/>
        </w:rPr>
        <w:t xml:space="preserve"> rates over the MTFP period.</w:t>
      </w:r>
    </w:p>
    <w:p w14:paraId="7C044B25" w14:textId="77777777" w:rsidR="00D06EAE" w:rsidRPr="009D7A02" w:rsidRDefault="00D06EAE" w:rsidP="00267B7A">
      <w:pPr>
        <w:pStyle w:val="ListParagraph"/>
        <w:spacing w:line="276" w:lineRule="auto"/>
        <w:ind w:left="567" w:right="140" w:hanging="567"/>
        <w:rPr>
          <w:rFonts w:ascii="Inter" w:hAnsi="Inter" w:cs="Arial"/>
        </w:rPr>
      </w:pPr>
    </w:p>
    <w:p w14:paraId="4BC3C52C" w14:textId="0C7E2921"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However, TVCA</w:t>
      </w:r>
      <w:r w:rsidR="00A61BC2">
        <w:rPr>
          <w:rFonts w:ascii="Inter" w:hAnsi="Inter" w:cs="Arial"/>
        </w:rPr>
        <w:t>’</w:t>
      </w:r>
      <w:r w:rsidRPr="2DFE4DF5">
        <w:rPr>
          <w:rFonts w:ascii="Inter" w:hAnsi="Inter" w:cs="Arial"/>
        </w:rPr>
        <w:t xml:space="preserve">s expenditure increases every year for inflationary items such as the pay award and contract indexation with other expenditure such as Employers’ NI and Employers’ pension contributions also potentially increasing.  The following are the expenditure assumptions that have been included in the </w:t>
      </w:r>
      <w:r w:rsidR="00094965" w:rsidRPr="2DFE4DF5">
        <w:rPr>
          <w:rFonts w:ascii="Inter" w:hAnsi="Inter" w:cs="Arial"/>
        </w:rPr>
        <w:t>MTFP</w:t>
      </w:r>
      <w:r w:rsidR="4FA1743E" w:rsidRPr="2DFE4DF5">
        <w:rPr>
          <w:rFonts w:ascii="Inter" w:hAnsi="Inter" w:cs="Arial"/>
        </w:rPr>
        <w:t>.</w:t>
      </w:r>
    </w:p>
    <w:p w14:paraId="3D7D7506" w14:textId="2B47B70A" w:rsidR="31B0F21A" w:rsidRPr="009D7A02" w:rsidRDefault="31B0F21A" w:rsidP="31B0F21A">
      <w:pPr>
        <w:pStyle w:val="ListParagraph"/>
        <w:spacing w:line="276" w:lineRule="auto"/>
        <w:ind w:left="567" w:right="140" w:hanging="567"/>
        <w:rPr>
          <w:rFonts w:ascii="Inter" w:hAnsi="Inter" w:cs="Arial"/>
        </w:rPr>
      </w:pPr>
    </w:p>
    <w:p w14:paraId="6B197641" w14:textId="298FC4BC" w:rsidR="00267B7A" w:rsidRPr="009D7A02" w:rsidRDefault="15592288" w:rsidP="31B0F21A">
      <w:pPr>
        <w:spacing w:line="276" w:lineRule="auto"/>
        <w:ind w:right="140"/>
        <w:jc w:val="center"/>
        <w:rPr>
          <w:rFonts w:ascii="Inter" w:hAnsi="Inter" w:cs="Arial"/>
          <w:b/>
        </w:rPr>
      </w:pPr>
      <w:r w:rsidRPr="009D7A02">
        <w:rPr>
          <w:rFonts w:ascii="Inter" w:hAnsi="Inter" w:cs="Arial"/>
          <w:b/>
          <w:bCs/>
        </w:rPr>
        <w:t xml:space="preserve">Table </w:t>
      </w:r>
      <w:r w:rsidR="001F190C">
        <w:rPr>
          <w:rFonts w:ascii="Inter" w:hAnsi="Inter" w:cs="Arial"/>
          <w:b/>
          <w:bCs/>
        </w:rPr>
        <w:t>2</w:t>
      </w:r>
      <w:r w:rsidRPr="009D7A02">
        <w:rPr>
          <w:rFonts w:ascii="Inter" w:hAnsi="Inter" w:cs="Arial"/>
          <w:b/>
          <w:bCs/>
        </w:rPr>
        <w:t>: MTFP Assumptions</w:t>
      </w:r>
    </w:p>
    <w:p w14:paraId="3B492FB3" w14:textId="457A3748" w:rsidR="00D06EAE" w:rsidRPr="009D7A02" w:rsidRDefault="00D06EAE" w:rsidP="001E6D8E">
      <w:pPr>
        <w:pStyle w:val="ListParagraph"/>
        <w:spacing w:line="276" w:lineRule="auto"/>
        <w:ind w:left="0" w:right="7371"/>
        <w:rPr>
          <w:rFonts w:ascii="Inter" w:hAnsi="Inter" w:cs="Arial"/>
        </w:rPr>
      </w:pPr>
    </w:p>
    <w:tbl>
      <w:tblPr>
        <w:tblW w:w="9295" w:type="dxa"/>
        <w:tblInd w:w="694" w:type="dxa"/>
        <w:tblLook w:val="04A0" w:firstRow="1" w:lastRow="0" w:firstColumn="1" w:lastColumn="0" w:noHBand="0" w:noVBand="1"/>
      </w:tblPr>
      <w:tblGrid>
        <w:gridCol w:w="3175"/>
        <w:gridCol w:w="6120"/>
      </w:tblGrid>
      <w:tr w:rsidR="00D06EAE" w:rsidRPr="009D7A02" w14:paraId="7735BC8E" w14:textId="77777777" w:rsidTr="7DC21327">
        <w:trPr>
          <w:trHeight w:val="20"/>
        </w:trPr>
        <w:tc>
          <w:tcPr>
            <w:tcW w:w="3175" w:type="dxa"/>
            <w:tcBorders>
              <w:top w:val="single" w:sz="12" w:space="0" w:color="auto"/>
              <w:left w:val="single" w:sz="12" w:space="0" w:color="auto"/>
              <w:bottom w:val="single" w:sz="4" w:space="0" w:color="auto"/>
              <w:right w:val="single" w:sz="4" w:space="0" w:color="auto"/>
            </w:tcBorders>
            <w:shd w:val="clear" w:color="auto" w:fill="E8E8E8"/>
            <w:noWrap/>
            <w:vAlign w:val="bottom"/>
            <w:hideMark/>
          </w:tcPr>
          <w:p w14:paraId="5CF26CF9" w14:textId="77777777" w:rsidR="00D06EAE" w:rsidRPr="009D7A02" w:rsidRDefault="00D06EAE">
            <w:pPr>
              <w:rPr>
                <w:rFonts w:ascii="Aptos Narrow" w:eastAsia="Times New Roman" w:hAnsi="Aptos Narrow" w:cs="Times New Roman"/>
                <w:b/>
                <w:color w:val="000000"/>
                <w:kern w:val="0"/>
                <w:lang w:eastAsia="en-GB"/>
                <w14:ligatures w14:val="none"/>
              </w:rPr>
            </w:pPr>
            <w:r w:rsidRPr="20CD456B">
              <w:rPr>
                <w:rFonts w:ascii="Aptos Narrow" w:eastAsia="Times New Roman" w:hAnsi="Aptos Narrow" w:cs="Times New Roman"/>
                <w:b/>
                <w:color w:val="000000"/>
                <w:kern w:val="0"/>
                <w:lang w:eastAsia="en-GB"/>
                <w14:ligatures w14:val="none"/>
              </w:rPr>
              <w:t>Budget Area</w:t>
            </w:r>
          </w:p>
        </w:tc>
        <w:tc>
          <w:tcPr>
            <w:tcW w:w="6120" w:type="dxa"/>
            <w:tcBorders>
              <w:top w:val="single" w:sz="12" w:space="0" w:color="auto"/>
              <w:left w:val="nil"/>
              <w:bottom w:val="single" w:sz="4" w:space="0" w:color="auto"/>
              <w:right w:val="single" w:sz="12" w:space="0" w:color="auto"/>
            </w:tcBorders>
            <w:shd w:val="clear" w:color="auto" w:fill="E8E8E8"/>
            <w:noWrap/>
            <w:vAlign w:val="bottom"/>
            <w:hideMark/>
          </w:tcPr>
          <w:p w14:paraId="5B4B6A31" w14:textId="77777777" w:rsidR="00D06EAE" w:rsidRPr="009D7A02" w:rsidRDefault="00D06EAE">
            <w:pPr>
              <w:rPr>
                <w:rFonts w:ascii="Aptos Narrow" w:eastAsia="Times New Roman" w:hAnsi="Aptos Narrow" w:cs="Times New Roman"/>
                <w:b/>
                <w:color w:val="000000"/>
                <w:kern w:val="0"/>
                <w:lang w:eastAsia="en-GB"/>
                <w14:ligatures w14:val="none"/>
              </w:rPr>
            </w:pPr>
            <w:r w:rsidRPr="20CD456B">
              <w:rPr>
                <w:rFonts w:ascii="Aptos Narrow" w:eastAsia="Times New Roman" w:hAnsi="Aptos Narrow" w:cs="Times New Roman"/>
                <w:b/>
                <w:color w:val="000000"/>
                <w:kern w:val="0"/>
                <w:lang w:eastAsia="en-GB"/>
                <w14:ligatures w14:val="none"/>
              </w:rPr>
              <w:t>Assumption</w:t>
            </w:r>
          </w:p>
        </w:tc>
      </w:tr>
      <w:tr w:rsidR="00D06EAE" w:rsidRPr="009D7A02" w14:paraId="673A05CD"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638F7CDC"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Pay Award</w:t>
            </w:r>
          </w:p>
        </w:tc>
        <w:tc>
          <w:tcPr>
            <w:tcW w:w="6120" w:type="dxa"/>
            <w:tcBorders>
              <w:top w:val="nil"/>
              <w:left w:val="nil"/>
              <w:bottom w:val="single" w:sz="4" w:space="0" w:color="auto"/>
              <w:right w:val="single" w:sz="12" w:space="0" w:color="auto"/>
            </w:tcBorders>
            <w:vAlign w:val="center"/>
            <w:hideMark/>
          </w:tcPr>
          <w:p w14:paraId="12B5E5B5"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3%</w:t>
            </w:r>
          </w:p>
        </w:tc>
      </w:tr>
      <w:tr w:rsidR="00D06EAE" w:rsidRPr="009D7A02" w14:paraId="3380FD03"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37FD7A64"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Employed Staff</w:t>
            </w:r>
          </w:p>
        </w:tc>
        <w:tc>
          <w:tcPr>
            <w:tcW w:w="6120" w:type="dxa"/>
            <w:tcBorders>
              <w:top w:val="nil"/>
              <w:left w:val="nil"/>
              <w:bottom w:val="single" w:sz="4" w:space="0" w:color="auto"/>
              <w:right w:val="single" w:sz="12" w:space="0" w:color="auto"/>
            </w:tcBorders>
            <w:vAlign w:val="center"/>
            <w:hideMark/>
          </w:tcPr>
          <w:p w14:paraId="124D1DE8"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Budgeted on actual 2026/27 incremental point</w:t>
            </w:r>
          </w:p>
        </w:tc>
      </w:tr>
      <w:tr w:rsidR="00D06EAE" w:rsidRPr="009D7A02" w14:paraId="33482554"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76772A9D"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Establishment Vacancies</w:t>
            </w:r>
          </w:p>
        </w:tc>
        <w:tc>
          <w:tcPr>
            <w:tcW w:w="6120" w:type="dxa"/>
            <w:tcBorders>
              <w:top w:val="nil"/>
              <w:left w:val="nil"/>
              <w:bottom w:val="single" w:sz="4" w:space="0" w:color="auto"/>
              <w:right w:val="single" w:sz="12" w:space="0" w:color="auto"/>
            </w:tcBorders>
            <w:vAlign w:val="center"/>
            <w:hideMark/>
          </w:tcPr>
          <w:p w14:paraId="54AAB0A9"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Budgeted on highest Incremental point within grade</w:t>
            </w:r>
          </w:p>
        </w:tc>
      </w:tr>
      <w:tr w:rsidR="00D06EAE" w:rsidRPr="009D7A02" w14:paraId="7A1283BE"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71CCCA80"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Contract Price Inflation</w:t>
            </w:r>
          </w:p>
        </w:tc>
        <w:tc>
          <w:tcPr>
            <w:tcW w:w="6120" w:type="dxa"/>
            <w:tcBorders>
              <w:top w:val="nil"/>
              <w:left w:val="nil"/>
              <w:bottom w:val="single" w:sz="4" w:space="0" w:color="auto"/>
              <w:right w:val="single" w:sz="12" w:space="0" w:color="auto"/>
            </w:tcBorders>
            <w:vAlign w:val="center"/>
            <w:hideMark/>
          </w:tcPr>
          <w:p w14:paraId="5881792C" w14:textId="214F933E"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Where known at 2026/27 rate, o</w:t>
            </w:r>
            <w:r w:rsidR="1E6BE73E" w:rsidRPr="009D7A02">
              <w:rPr>
                <w:rFonts w:ascii="Aptos Narrow" w:eastAsia="Times New Roman" w:hAnsi="Aptos Narrow" w:cs="Times New Roman"/>
                <w:color w:val="000000"/>
                <w:kern w:val="0"/>
                <w:lang w:eastAsia="en-GB"/>
                <w14:ligatures w14:val="none"/>
              </w:rPr>
              <w:t>therw</w:t>
            </w:r>
            <w:r w:rsidRPr="009D7A02">
              <w:rPr>
                <w:rFonts w:ascii="Aptos Narrow" w:eastAsia="Times New Roman" w:hAnsi="Aptos Narrow" w:cs="Times New Roman"/>
                <w:color w:val="000000"/>
                <w:kern w:val="0"/>
                <w:lang w:eastAsia="en-GB"/>
                <w14:ligatures w14:val="none"/>
              </w:rPr>
              <w:t>ise 3% Inflation (</w:t>
            </w:r>
            <w:r w:rsidR="1BAFBD3F">
              <w:rPr>
                <w:rFonts w:ascii="Aptos Narrow" w:eastAsia="Times New Roman" w:hAnsi="Aptos Narrow" w:cs="Times New Roman"/>
                <w:color w:val="000000"/>
                <w:kern w:val="0"/>
                <w:lang w:eastAsia="en-GB"/>
                <w14:ligatures w14:val="none"/>
              </w:rPr>
              <w:t>I</w:t>
            </w:r>
            <w:r w:rsidRPr="009D7A02">
              <w:rPr>
                <w:rFonts w:ascii="Aptos Narrow" w:eastAsia="Times New Roman" w:hAnsi="Aptos Narrow" w:cs="Times New Roman"/>
                <w:color w:val="000000"/>
                <w:kern w:val="0"/>
                <w:lang w:eastAsia="en-GB"/>
                <w14:ligatures w14:val="none"/>
              </w:rPr>
              <w:t>nsurance 5%)</w:t>
            </w:r>
          </w:p>
        </w:tc>
      </w:tr>
      <w:tr w:rsidR="00D06EAE" w:rsidRPr="009D7A02" w14:paraId="35D803FD"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33550C68"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Employers NI Contribution</w:t>
            </w:r>
          </w:p>
        </w:tc>
        <w:tc>
          <w:tcPr>
            <w:tcW w:w="6120" w:type="dxa"/>
            <w:tcBorders>
              <w:top w:val="nil"/>
              <w:left w:val="nil"/>
              <w:bottom w:val="single" w:sz="4" w:space="0" w:color="auto"/>
              <w:right w:val="single" w:sz="12" w:space="0" w:color="auto"/>
            </w:tcBorders>
            <w:vAlign w:val="center"/>
            <w:hideMark/>
          </w:tcPr>
          <w:p w14:paraId="60C9B956"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2025/26 contribution rate</w:t>
            </w:r>
          </w:p>
        </w:tc>
      </w:tr>
      <w:tr w:rsidR="00D06EAE" w:rsidRPr="009D7A02" w14:paraId="30133E79"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3B1DE264"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Employers Pension Contribution</w:t>
            </w:r>
          </w:p>
        </w:tc>
        <w:tc>
          <w:tcPr>
            <w:tcW w:w="6120" w:type="dxa"/>
            <w:tcBorders>
              <w:top w:val="nil"/>
              <w:left w:val="nil"/>
              <w:bottom w:val="single" w:sz="4" w:space="0" w:color="auto"/>
              <w:right w:val="single" w:sz="12" w:space="0" w:color="auto"/>
            </w:tcBorders>
            <w:vAlign w:val="center"/>
            <w:hideMark/>
          </w:tcPr>
          <w:p w14:paraId="0482FC3C"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2025/26 contribution rate</w:t>
            </w:r>
          </w:p>
        </w:tc>
      </w:tr>
      <w:tr w:rsidR="00D06EAE" w:rsidRPr="009D7A02" w14:paraId="4BE32149"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6D507608"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 xml:space="preserve">Borrowing Costs </w:t>
            </w:r>
          </w:p>
        </w:tc>
        <w:tc>
          <w:tcPr>
            <w:tcW w:w="6120" w:type="dxa"/>
            <w:tcBorders>
              <w:top w:val="nil"/>
              <w:left w:val="nil"/>
              <w:bottom w:val="single" w:sz="4" w:space="0" w:color="auto"/>
              <w:right w:val="single" w:sz="12" w:space="0" w:color="auto"/>
            </w:tcBorders>
            <w:vAlign w:val="center"/>
            <w:hideMark/>
          </w:tcPr>
          <w:p w14:paraId="42CCF516"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Budgeted on borrowing full CFR (not actual borrowing undertaken to date)</w:t>
            </w:r>
          </w:p>
        </w:tc>
      </w:tr>
      <w:tr w:rsidR="00D06EAE" w:rsidRPr="009D7A02" w14:paraId="517336C1"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6380D49E"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Borrowing Interest Rates</w:t>
            </w:r>
          </w:p>
        </w:tc>
        <w:tc>
          <w:tcPr>
            <w:tcW w:w="6120" w:type="dxa"/>
            <w:tcBorders>
              <w:top w:val="nil"/>
              <w:left w:val="nil"/>
              <w:bottom w:val="single" w:sz="4" w:space="0" w:color="auto"/>
              <w:right w:val="single" w:sz="12" w:space="0" w:color="auto"/>
            </w:tcBorders>
            <w:vAlign w:val="center"/>
            <w:hideMark/>
          </w:tcPr>
          <w:p w14:paraId="6069AF34" w14:textId="1169029D" w:rsidR="00D06EAE" w:rsidRPr="009D7A02" w:rsidRDefault="00D06EAE" w:rsidP="64D2AD41">
            <w:pPr>
              <w:rPr>
                <w:rFonts w:ascii="Aptos Narrow" w:eastAsia="Aptos Narrow" w:hAnsi="Aptos Narrow" w:cs="Aptos Narrow"/>
              </w:rPr>
            </w:pPr>
            <w:r w:rsidRPr="009D7A02">
              <w:rPr>
                <w:rFonts w:ascii="Aptos Narrow" w:eastAsia="Aptos Narrow" w:hAnsi="Aptos Narrow" w:cs="Aptos Narrow"/>
              </w:rPr>
              <w:t>4.8% based on Treasury advice</w:t>
            </w:r>
            <w:r w:rsidR="0DAB6831" w:rsidRPr="009D7A02">
              <w:rPr>
                <w:rFonts w:ascii="Aptos Narrow" w:eastAsia="Aptos Narrow" w:hAnsi="Aptos Narrow" w:cs="Aptos Narrow"/>
              </w:rPr>
              <w:t xml:space="preserve">, </w:t>
            </w:r>
            <w:r w:rsidRPr="009D7A02">
              <w:rPr>
                <w:rFonts w:ascii="Aptos Narrow" w:eastAsia="Aptos Narrow" w:hAnsi="Aptos Narrow" w:cs="Aptos Narrow"/>
              </w:rPr>
              <w:t>with an additional 0.</w:t>
            </w:r>
            <w:r w:rsidR="004F3D64">
              <w:rPr>
                <w:rFonts w:ascii="Aptos Narrow" w:eastAsia="Aptos Narrow" w:hAnsi="Aptos Narrow" w:cs="Aptos Narrow"/>
              </w:rPr>
              <w:t>25</w:t>
            </w:r>
            <w:r w:rsidRPr="009D7A02">
              <w:rPr>
                <w:rFonts w:ascii="Aptos Narrow" w:eastAsia="Aptos Narrow" w:hAnsi="Aptos Narrow" w:cs="Aptos Narrow"/>
              </w:rPr>
              <w:t>% prudently included to mitigate inability to achieve the anticipated borrowing rate for future loans (</w:t>
            </w:r>
            <w:r w:rsidR="00EF4D8C" w:rsidRPr="009D7A02">
              <w:rPr>
                <w:rFonts w:ascii="Aptos Narrow" w:eastAsia="Aptos Narrow" w:hAnsi="Aptos Narrow" w:cs="Aptos Narrow"/>
              </w:rPr>
              <w:t>i.e.</w:t>
            </w:r>
            <w:r w:rsidRPr="009D7A02">
              <w:rPr>
                <w:rFonts w:ascii="Aptos Narrow" w:eastAsia="Aptos Narrow" w:hAnsi="Aptos Narrow" w:cs="Aptos Narrow"/>
              </w:rPr>
              <w:t xml:space="preserve"> up to 5.1%)</w:t>
            </w:r>
          </w:p>
        </w:tc>
      </w:tr>
      <w:tr w:rsidR="00D06EAE" w:rsidRPr="009D7A02" w14:paraId="7938579D"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4C087449"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Transformation costs</w:t>
            </w:r>
          </w:p>
        </w:tc>
        <w:tc>
          <w:tcPr>
            <w:tcW w:w="6120" w:type="dxa"/>
            <w:tcBorders>
              <w:top w:val="nil"/>
              <w:left w:val="nil"/>
              <w:bottom w:val="single" w:sz="4" w:space="0" w:color="auto"/>
              <w:right w:val="single" w:sz="12" w:space="0" w:color="auto"/>
            </w:tcBorders>
            <w:vAlign w:val="center"/>
            <w:hideMark/>
          </w:tcPr>
          <w:p w14:paraId="7B61FD1E"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 xml:space="preserve"> Inclusion of one-off (2026/27) transformation costs of c£1.519m</w:t>
            </w:r>
          </w:p>
        </w:tc>
      </w:tr>
      <w:tr w:rsidR="00D06EAE" w:rsidRPr="009D7A02" w14:paraId="63BDF143"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01861BA6"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New Grants</w:t>
            </w:r>
          </w:p>
        </w:tc>
        <w:tc>
          <w:tcPr>
            <w:tcW w:w="6120" w:type="dxa"/>
            <w:tcBorders>
              <w:top w:val="nil"/>
              <w:left w:val="nil"/>
              <w:bottom w:val="single" w:sz="4" w:space="0" w:color="auto"/>
              <w:right w:val="single" w:sz="12" w:space="0" w:color="auto"/>
            </w:tcBorders>
            <w:vAlign w:val="center"/>
            <w:hideMark/>
          </w:tcPr>
          <w:p w14:paraId="10DF5B4A" w14:textId="15FE1766"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Symbol" w:hAnsi="Aptos Narrow" w:cs="Symbol"/>
                <w:color w:val="000000"/>
                <w:kern w:val="0"/>
                <w:lang w:eastAsia="en-GB"/>
                <w14:ligatures w14:val="none"/>
              </w:rPr>
              <w:t xml:space="preserve">Grant income fully funds grant-related expenditure including </w:t>
            </w:r>
            <w:r w:rsidR="00094965" w:rsidRPr="009D7A02">
              <w:rPr>
                <w:rFonts w:ascii="Aptos Narrow" w:eastAsia="Symbol" w:hAnsi="Aptos Narrow" w:cs="Symbol"/>
                <w:color w:val="000000"/>
                <w:kern w:val="0"/>
                <w:lang w:eastAsia="en-GB"/>
                <w14:ligatures w14:val="none"/>
              </w:rPr>
              <w:t>central services recharge</w:t>
            </w:r>
          </w:p>
        </w:tc>
      </w:tr>
      <w:tr w:rsidR="00D06EAE" w:rsidRPr="009D7A02" w14:paraId="4CD8393B" w14:textId="77777777" w:rsidTr="7DC21327">
        <w:trPr>
          <w:trHeight w:val="20"/>
        </w:trPr>
        <w:tc>
          <w:tcPr>
            <w:tcW w:w="3175" w:type="dxa"/>
            <w:tcBorders>
              <w:top w:val="nil"/>
              <w:left w:val="single" w:sz="12" w:space="0" w:color="auto"/>
              <w:bottom w:val="single" w:sz="4" w:space="0" w:color="auto"/>
              <w:right w:val="single" w:sz="4" w:space="0" w:color="auto"/>
            </w:tcBorders>
            <w:noWrap/>
            <w:vAlign w:val="center"/>
            <w:hideMark/>
          </w:tcPr>
          <w:p w14:paraId="08DD7258" w14:textId="0D14C54E" w:rsidR="00D06EAE" w:rsidRPr="009D7A02" w:rsidRDefault="4F9CF58A">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C</w:t>
            </w:r>
            <w:r w:rsidR="00D06EAE" w:rsidRPr="009D7A02">
              <w:rPr>
                <w:rFonts w:ascii="Aptos Narrow" w:eastAsia="Times New Roman" w:hAnsi="Aptos Narrow" w:cs="Times New Roman"/>
                <w:color w:val="000000"/>
                <w:kern w:val="0"/>
                <w:lang w:eastAsia="en-GB"/>
                <w14:ligatures w14:val="none"/>
              </w:rPr>
              <w:t xml:space="preserve">apital </w:t>
            </w:r>
            <w:r w:rsidR="00094965" w:rsidRPr="009D7A02">
              <w:rPr>
                <w:rFonts w:ascii="Aptos Narrow" w:eastAsia="Times New Roman" w:hAnsi="Aptos Narrow" w:cs="Times New Roman"/>
                <w:color w:val="000000"/>
                <w:kern w:val="0"/>
                <w:lang w:eastAsia="en-GB"/>
                <w14:ligatures w14:val="none"/>
              </w:rPr>
              <w:t>central services recharge</w:t>
            </w:r>
          </w:p>
        </w:tc>
        <w:tc>
          <w:tcPr>
            <w:tcW w:w="6120" w:type="dxa"/>
            <w:tcBorders>
              <w:top w:val="nil"/>
              <w:left w:val="nil"/>
              <w:bottom w:val="single" w:sz="4" w:space="0" w:color="auto"/>
              <w:right w:val="single" w:sz="12" w:space="0" w:color="auto"/>
            </w:tcBorders>
            <w:vAlign w:val="center"/>
            <w:hideMark/>
          </w:tcPr>
          <w:p w14:paraId="3278516B" w14:textId="53C967B2"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 xml:space="preserve">Capital </w:t>
            </w:r>
            <w:r w:rsidR="00094965" w:rsidRPr="009D7A02">
              <w:rPr>
                <w:rFonts w:ascii="Aptos Narrow" w:eastAsia="Times New Roman" w:hAnsi="Aptos Narrow" w:cs="Times New Roman"/>
                <w:color w:val="000000"/>
                <w:kern w:val="0"/>
                <w:lang w:eastAsia="en-GB"/>
                <w14:ligatures w14:val="none"/>
              </w:rPr>
              <w:t>central services recharge</w:t>
            </w:r>
            <w:r w:rsidRPr="009D7A02">
              <w:rPr>
                <w:rFonts w:ascii="Aptos Narrow" w:eastAsia="Times New Roman" w:hAnsi="Aptos Narrow" w:cs="Times New Roman"/>
                <w:color w:val="000000"/>
                <w:kern w:val="0"/>
                <w:lang w:eastAsia="en-GB"/>
                <w14:ligatures w14:val="none"/>
              </w:rPr>
              <w:t xml:space="preserve"> (revenue Income) budgeted at 80% of </w:t>
            </w:r>
            <w:r w:rsidR="004C46FF">
              <w:rPr>
                <w:rFonts w:ascii="Aptos Narrow" w:eastAsia="Times New Roman" w:hAnsi="Aptos Narrow" w:cs="Times New Roman"/>
                <w:color w:val="000000"/>
                <w:kern w:val="0"/>
                <w:lang w:eastAsia="en-GB"/>
                <w14:ligatures w14:val="none"/>
              </w:rPr>
              <w:t>p</w:t>
            </w:r>
            <w:r w:rsidRPr="009D7A02">
              <w:rPr>
                <w:rFonts w:ascii="Aptos Narrow" w:eastAsia="Times New Roman" w:hAnsi="Aptos Narrow" w:cs="Times New Roman"/>
                <w:color w:val="000000"/>
                <w:kern w:val="0"/>
                <w:lang w:eastAsia="en-GB"/>
                <w14:ligatures w14:val="none"/>
              </w:rPr>
              <w:t xml:space="preserve">otential </w:t>
            </w:r>
            <w:r w:rsidR="004C46FF">
              <w:rPr>
                <w:rFonts w:ascii="Aptos Narrow" w:eastAsia="Times New Roman" w:hAnsi="Aptos Narrow" w:cs="Times New Roman"/>
                <w:color w:val="000000"/>
                <w:kern w:val="0"/>
                <w:lang w:eastAsia="en-GB"/>
                <w14:ligatures w14:val="none"/>
              </w:rPr>
              <w:t>i</w:t>
            </w:r>
            <w:r w:rsidRPr="009D7A02">
              <w:rPr>
                <w:rFonts w:ascii="Aptos Narrow" w:eastAsia="Times New Roman" w:hAnsi="Aptos Narrow" w:cs="Times New Roman"/>
                <w:color w:val="000000"/>
                <w:kern w:val="0"/>
                <w:lang w:eastAsia="en-GB"/>
                <w14:ligatures w14:val="none"/>
              </w:rPr>
              <w:t>dentified</w:t>
            </w:r>
          </w:p>
        </w:tc>
      </w:tr>
      <w:tr w:rsidR="00D06EAE" w:rsidRPr="009D7A02" w14:paraId="3240FD53" w14:textId="77777777" w:rsidTr="7DC21327">
        <w:trPr>
          <w:trHeight w:val="525"/>
        </w:trPr>
        <w:tc>
          <w:tcPr>
            <w:tcW w:w="3175" w:type="dxa"/>
            <w:tcBorders>
              <w:top w:val="nil"/>
              <w:left w:val="single" w:sz="12" w:space="0" w:color="auto"/>
              <w:bottom w:val="single" w:sz="4" w:space="0" w:color="auto"/>
              <w:right w:val="single" w:sz="4" w:space="0" w:color="auto"/>
            </w:tcBorders>
            <w:noWrap/>
            <w:vAlign w:val="center"/>
          </w:tcPr>
          <w:p w14:paraId="1E187197" w14:textId="77777777" w:rsidR="00D06EAE" w:rsidRPr="009D7A02" w:rsidRDefault="00D06EAE">
            <w:pPr>
              <w:rPr>
                <w:rFonts w:ascii="Aptos Narrow" w:eastAsia="Times New Roman" w:hAnsi="Aptos Narrow" w:cs="Times New Roman"/>
                <w:color w:val="000000"/>
                <w:kern w:val="0"/>
                <w:lang w:eastAsia="en-GB"/>
                <w14:ligatures w14:val="none"/>
              </w:rPr>
            </w:pPr>
            <w:r w:rsidRPr="009D7A02">
              <w:rPr>
                <w:rFonts w:ascii="Aptos Narrow" w:eastAsia="Times New Roman" w:hAnsi="Aptos Narrow" w:cs="Times New Roman"/>
                <w:color w:val="000000"/>
                <w:kern w:val="0"/>
                <w:lang w:eastAsia="en-GB"/>
                <w14:ligatures w14:val="none"/>
              </w:rPr>
              <w:t>Externally Funded Budget Growth</w:t>
            </w:r>
          </w:p>
        </w:tc>
        <w:tc>
          <w:tcPr>
            <w:tcW w:w="6120" w:type="dxa"/>
            <w:tcBorders>
              <w:top w:val="nil"/>
              <w:left w:val="nil"/>
              <w:bottom w:val="single" w:sz="4" w:space="0" w:color="auto"/>
              <w:right w:val="single" w:sz="12" w:space="0" w:color="auto"/>
            </w:tcBorders>
            <w:vAlign w:val="center"/>
          </w:tcPr>
          <w:p w14:paraId="2ACA6993" w14:textId="470668C9" w:rsidR="00D06EAE" w:rsidRPr="009D7A02" w:rsidRDefault="00D06EAE">
            <w:pPr>
              <w:rPr>
                <w:rFonts w:ascii="Aptos Narrow" w:eastAsia="Symbol" w:hAnsi="Aptos Narrow" w:cs="Symbol"/>
                <w:color w:val="000000"/>
                <w:kern w:val="0"/>
                <w:lang w:eastAsia="en-GB"/>
                <w14:ligatures w14:val="none"/>
              </w:rPr>
            </w:pPr>
            <w:r w:rsidRPr="3D575423">
              <w:rPr>
                <w:rFonts w:ascii="Aptos Narrow" w:eastAsia="Aptos Narrow" w:hAnsi="Aptos Narrow" w:cs="Aptos Narrow"/>
              </w:rPr>
              <w:t xml:space="preserve">No new directorate budget </w:t>
            </w:r>
            <w:r w:rsidR="00B025EA" w:rsidRPr="2C22B581">
              <w:rPr>
                <w:rFonts w:ascii="Aptos Narrow" w:eastAsia="Aptos Narrow" w:hAnsi="Aptos Narrow" w:cs="Aptos Narrow"/>
              </w:rPr>
              <w:t>growth</w:t>
            </w:r>
            <w:r w:rsidR="00B025EA" w:rsidRPr="3D575423">
              <w:rPr>
                <w:rFonts w:ascii="Aptos Narrow" w:eastAsia="Aptos Narrow" w:hAnsi="Aptos Narrow" w:cs="Aptos Narrow"/>
              </w:rPr>
              <w:t xml:space="preserve"> after</w:t>
            </w:r>
            <w:r w:rsidR="0054DA02" w:rsidRPr="3D575423">
              <w:rPr>
                <w:rFonts w:ascii="Aptos Narrow" w:eastAsia="Aptos Narrow" w:hAnsi="Aptos Narrow" w:cs="Aptos Narrow"/>
              </w:rPr>
              <w:t xml:space="preserve"> 2026/</w:t>
            </w:r>
            <w:r w:rsidR="0054DA02" w:rsidRPr="2C22B581">
              <w:rPr>
                <w:rFonts w:ascii="Aptos Narrow" w:eastAsia="Aptos Narrow" w:hAnsi="Aptos Narrow" w:cs="Aptos Narrow"/>
              </w:rPr>
              <w:t>27</w:t>
            </w:r>
          </w:p>
        </w:tc>
      </w:tr>
    </w:tbl>
    <w:p w14:paraId="02433997" w14:textId="77777777" w:rsidR="00D06EAE" w:rsidRPr="009D7A02" w:rsidRDefault="00D06EAE" w:rsidP="00D06EAE"/>
    <w:p w14:paraId="4DDA65F3" w14:textId="77777777" w:rsidR="00D06EAE" w:rsidRPr="009D7A02" w:rsidRDefault="00D06EAE" w:rsidP="00D06EAE">
      <w:pPr>
        <w:pStyle w:val="ListParagraph"/>
        <w:spacing w:line="276" w:lineRule="auto"/>
        <w:ind w:left="0" w:right="140"/>
        <w:rPr>
          <w:rFonts w:ascii="Inter" w:hAnsi="Inter" w:cs="Arial"/>
        </w:rPr>
      </w:pPr>
    </w:p>
    <w:p w14:paraId="4E85F8DD" w14:textId="77777777" w:rsidR="00D06EAE" w:rsidRPr="00266CE1" w:rsidRDefault="00D06EAE" w:rsidP="3AC231A1">
      <w:pPr>
        <w:spacing w:line="276" w:lineRule="auto"/>
        <w:ind w:right="140" w:firstLine="567"/>
        <w:rPr>
          <w:rFonts w:ascii="Inter" w:hAnsi="Inter" w:cs="Arial"/>
          <w:b/>
          <w:bCs/>
        </w:rPr>
      </w:pPr>
      <w:r w:rsidRPr="00266CE1">
        <w:rPr>
          <w:rFonts w:ascii="Inter" w:hAnsi="Inter" w:cs="Arial"/>
          <w:b/>
          <w:bCs/>
        </w:rPr>
        <w:t>Minimum Revenue Provision</w:t>
      </w:r>
    </w:p>
    <w:p w14:paraId="04A90B1C" w14:textId="15826330"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Minimum Revenue Provision (MRP) is the amount set aside to repay debt</w:t>
      </w:r>
      <w:r w:rsidR="006B087D" w:rsidRPr="2DFE4DF5">
        <w:rPr>
          <w:rFonts w:ascii="Inter" w:hAnsi="Inter" w:cs="Arial"/>
        </w:rPr>
        <w:t xml:space="preserve"> </w:t>
      </w:r>
      <w:r w:rsidR="001F3698" w:rsidRPr="2DFE4DF5">
        <w:rPr>
          <w:rFonts w:ascii="Inter" w:hAnsi="Inter" w:cs="Arial"/>
        </w:rPr>
        <w:t>on capital expenditu</w:t>
      </w:r>
      <w:r w:rsidR="06AC0227" w:rsidRPr="2DFE4DF5">
        <w:rPr>
          <w:rFonts w:ascii="Inter" w:hAnsi="Inter" w:cs="Arial"/>
        </w:rPr>
        <w:t>re</w:t>
      </w:r>
      <w:r w:rsidRPr="2DFE4DF5">
        <w:rPr>
          <w:rFonts w:ascii="Inter" w:hAnsi="Inter" w:cs="Arial"/>
        </w:rPr>
        <w:t>.   For TVCA</w:t>
      </w:r>
      <w:r w:rsidR="000462AF">
        <w:rPr>
          <w:rFonts w:ascii="Inter" w:hAnsi="Inter" w:cs="Arial"/>
        </w:rPr>
        <w:t>,</w:t>
      </w:r>
      <w:r w:rsidRPr="2DFE4DF5">
        <w:rPr>
          <w:rFonts w:ascii="Inter" w:hAnsi="Inter" w:cs="Arial"/>
        </w:rPr>
        <w:t xml:space="preserve"> this is calculated using an annuity-based, asset-life approach with the provision commencing the financial year after the associated asset is brought into use.</w:t>
      </w:r>
    </w:p>
    <w:p w14:paraId="641BD5F6" w14:textId="77777777" w:rsidR="00D06EAE" w:rsidRPr="009D7A02" w:rsidRDefault="00D06EAE" w:rsidP="00A55302">
      <w:pPr>
        <w:pStyle w:val="ListParagraph"/>
        <w:spacing w:line="276" w:lineRule="auto"/>
        <w:ind w:left="567" w:right="140" w:hanging="567"/>
        <w:rPr>
          <w:rFonts w:ascii="Inter" w:hAnsi="Inter" w:cs="Arial"/>
        </w:rPr>
      </w:pPr>
    </w:p>
    <w:p w14:paraId="1AEC1F54" w14:textId="2F3F923D"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Under an annuity calculation, the total annual charge for a loan (comprising both interest and principal repayment) remains constant over the life of the arrangement. However, as the arrangement period progresses, the composition of that constant payment changes</w:t>
      </w:r>
      <w:r w:rsidR="50C6428A" w:rsidRPr="2DFE4DF5">
        <w:rPr>
          <w:rFonts w:ascii="Inter" w:hAnsi="Inter" w:cs="Arial"/>
        </w:rPr>
        <w:t xml:space="preserve"> with</w:t>
      </w:r>
      <w:r w:rsidRPr="2DFE4DF5">
        <w:rPr>
          <w:rFonts w:ascii="Inter" w:hAnsi="Inter" w:cs="Arial"/>
        </w:rPr>
        <w:t xml:space="preserve"> the proportion relating to principal increas</w:t>
      </w:r>
      <w:r w:rsidR="4CE83501" w:rsidRPr="2DFE4DF5">
        <w:rPr>
          <w:rFonts w:ascii="Inter" w:hAnsi="Inter" w:cs="Arial"/>
        </w:rPr>
        <w:t>ing</w:t>
      </w:r>
      <w:r w:rsidRPr="2DFE4DF5">
        <w:rPr>
          <w:rFonts w:ascii="Inter" w:hAnsi="Inter" w:cs="Arial"/>
        </w:rPr>
        <w:t>, while the proportion relating to interest decreases.</w:t>
      </w:r>
    </w:p>
    <w:p w14:paraId="6F7A8EA3" w14:textId="77777777" w:rsidR="00D06EAE" w:rsidRPr="009D7A02" w:rsidRDefault="00D06EAE" w:rsidP="00A55302">
      <w:pPr>
        <w:pStyle w:val="ListParagraph"/>
        <w:spacing w:line="276" w:lineRule="auto"/>
        <w:ind w:left="567" w:right="140" w:hanging="567"/>
        <w:rPr>
          <w:rFonts w:ascii="Inter" w:hAnsi="Inter" w:cs="Arial"/>
        </w:rPr>
      </w:pPr>
    </w:p>
    <w:p w14:paraId="4BBEFB1A" w14:textId="7891722E"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As MRP is derived from the principal element of the annuity calculation, the MRP charge will rise each year over the life of the asset. This increase is offset by a corresponding reduction in the interest charge, ensuring that the overall annual cost remains consistent.</w:t>
      </w:r>
      <w:r w:rsidR="437EF097" w:rsidRPr="2DFE4DF5">
        <w:rPr>
          <w:rFonts w:ascii="Inter" w:hAnsi="Inter" w:cs="Arial"/>
        </w:rPr>
        <w:t xml:space="preserve">  This is why the MRP charge is increasing over the MTFP period.</w:t>
      </w:r>
    </w:p>
    <w:p w14:paraId="78B3DFE5" w14:textId="77777777" w:rsidR="00D06EAE" w:rsidRPr="009D7A02" w:rsidRDefault="00D06EAE" w:rsidP="00A55302">
      <w:pPr>
        <w:pStyle w:val="ListParagraph"/>
        <w:spacing w:line="276" w:lineRule="auto"/>
        <w:ind w:left="567" w:right="140" w:hanging="567"/>
        <w:rPr>
          <w:rFonts w:ascii="Inter" w:hAnsi="Inter" w:cs="Arial"/>
        </w:rPr>
      </w:pPr>
    </w:p>
    <w:p w14:paraId="2BCCB1F1" w14:textId="441CBDF0" w:rsidR="00266CE1" w:rsidRPr="009D7A02" w:rsidRDefault="00D06EAE" w:rsidP="3AC231A1">
      <w:pPr>
        <w:pStyle w:val="ListParagraph"/>
        <w:spacing w:line="276" w:lineRule="auto"/>
        <w:ind w:left="0" w:right="140" w:firstLine="567"/>
        <w:rPr>
          <w:rFonts w:ascii="Inter" w:hAnsi="Inter" w:cs="Arial"/>
          <w:b/>
        </w:rPr>
      </w:pPr>
      <w:r w:rsidRPr="009D7A02">
        <w:rPr>
          <w:rFonts w:ascii="Inter" w:hAnsi="Inter" w:cs="Arial"/>
          <w:b/>
          <w:bCs/>
        </w:rPr>
        <w:t>Net return on Investment Properties</w:t>
      </w:r>
    </w:p>
    <w:p w14:paraId="66B82399" w14:textId="5AC5B9C1"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TVCA maintain</w:t>
      </w:r>
      <w:r w:rsidR="0027103D">
        <w:rPr>
          <w:rFonts w:ascii="Inter" w:hAnsi="Inter" w:cs="Arial"/>
        </w:rPr>
        <w:t>s</w:t>
      </w:r>
      <w:r w:rsidRPr="2DFE4DF5">
        <w:rPr>
          <w:rFonts w:ascii="Inter" w:hAnsi="Inter" w:cs="Arial"/>
        </w:rPr>
        <w:t xml:space="preserve"> several </w:t>
      </w:r>
      <w:r w:rsidR="76089A4A" w:rsidRPr="2DFE4DF5">
        <w:rPr>
          <w:rFonts w:ascii="Inter" w:hAnsi="Inter" w:cs="Arial"/>
        </w:rPr>
        <w:t>i</w:t>
      </w:r>
      <w:r w:rsidRPr="2DFE4DF5">
        <w:rPr>
          <w:rFonts w:ascii="Inter" w:hAnsi="Inter" w:cs="Arial"/>
        </w:rPr>
        <w:t>nvestment properties.  While the investment in these properties is primarily driven by economic regeneration objectives</w:t>
      </w:r>
      <w:r w:rsidR="206B4278" w:rsidRPr="2DFE4DF5">
        <w:rPr>
          <w:rFonts w:ascii="Inter" w:hAnsi="Inter" w:cs="Arial"/>
        </w:rPr>
        <w:t>,</w:t>
      </w:r>
      <w:r w:rsidRPr="2DFE4DF5">
        <w:rPr>
          <w:rFonts w:ascii="Inter" w:hAnsi="Inter" w:cs="Arial"/>
        </w:rPr>
        <w:t xml:space="preserve"> for reporting purposes these initiatives are reported separately to increase the transparency over the net cost </w:t>
      </w:r>
      <w:r w:rsidR="1C85FC99" w:rsidRPr="2DFE4DF5">
        <w:rPr>
          <w:rFonts w:ascii="Inter" w:hAnsi="Inter" w:cs="Arial"/>
        </w:rPr>
        <w:t xml:space="preserve">or return </w:t>
      </w:r>
      <w:r w:rsidRPr="2DFE4DF5">
        <w:rPr>
          <w:rFonts w:ascii="Inter" w:hAnsi="Inter" w:cs="Arial"/>
        </w:rPr>
        <w:t xml:space="preserve">associated with achieving the regeneration objectives striven for. </w:t>
      </w:r>
    </w:p>
    <w:p w14:paraId="413AA17D" w14:textId="77777777" w:rsidR="00D06EAE" w:rsidRPr="009D7A02" w:rsidRDefault="00D06EAE" w:rsidP="00A55302">
      <w:pPr>
        <w:pStyle w:val="ListParagraph"/>
        <w:spacing w:line="276" w:lineRule="auto"/>
        <w:ind w:left="567" w:right="140" w:hanging="567"/>
        <w:rPr>
          <w:rFonts w:ascii="Inter" w:hAnsi="Inter" w:cs="Arial"/>
        </w:rPr>
      </w:pPr>
    </w:p>
    <w:p w14:paraId="01520A63" w14:textId="38758541" w:rsidR="00D06EAE" w:rsidRPr="00927574" w:rsidRDefault="00D06EAE" w:rsidP="2DFE4DF5">
      <w:pPr>
        <w:pStyle w:val="ListParagraph"/>
        <w:numPr>
          <w:ilvl w:val="0"/>
          <w:numId w:val="4"/>
        </w:numPr>
        <w:spacing w:line="276" w:lineRule="auto"/>
        <w:ind w:left="567" w:right="140" w:hanging="567"/>
        <w:rPr>
          <w:rFonts w:ascii="Inter" w:eastAsia="Inter" w:hAnsi="Inter" w:cs="Inter"/>
        </w:rPr>
      </w:pPr>
      <w:r w:rsidRPr="2DFE4DF5">
        <w:rPr>
          <w:rFonts w:ascii="Inter" w:eastAsia="Inter" w:hAnsi="Inter" w:cs="Inter"/>
        </w:rPr>
        <w:t>The two Investment properties that TVCA operate are the 6 Centre Square complex and the Zetland Car Park. In 2026/27 it is anticipated that these operations will generate a net income of £360k. The net position is dependent on occupancy</w:t>
      </w:r>
      <w:r w:rsidR="016CC249" w:rsidRPr="2DFE4DF5">
        <w:rPr>
          <w:rFonts w:ascii="Inter" w:eastAsia="Inter" w:hAnsi="Inter" w:cs="Inter"/>
        </w:rPr>
        <w:t>/</w:t>
      </w:r>
      <w:r w:rsidRPr="2DFE4DF5">
        <w:rPr>
          <w:rFonts w:ascii="Inter" w:eastAsia="Inter" w:hAnsi="Inter" w:cs="Inter"/>
        </w:rPr>
        <w:t>usage of these facilities. An informed prudent but realistic approach has been adopted in forecasting anticipated income in future years</w:t>
      </w:r>
      <w:r w:rsidR="179E414E" w:rsidRPr="2DFE4DF5">
        <w:rPr>
          <w:rFonts w:ascii="Inter" w:eastAsia="Inter" w:hAnsi="Inter" w:cs="Inter"/>
        </w:rPr>
        <w:t>.</w:t>
      </w:r>
    </w:p>
    <w:p w14:paraId="43652080" w14:textId="77777777" w:rsidR="00D06EAE" w:rsidRPr="009D7A02" w:rsidRDefault="00D06EAE" w:rsidP="00A55302">
      <w:pPr>
        <w:pStyle w:val="ListParagraph"/>
        <w:spacing w:line="276" w:lineRule="auto"/>
        <w:ind w:left="567" w:right="140" w:hanging="567"/>
        <w:rPr>
          <w:rFonts w:ascii="Inter" w:hAnsi="Inter" w:cs="Arial"/>
        </w:rPr>
      </w:pPr>
    </w:p>
    <w:p w14:paraId="343B0761" w14:textId="6B294070" w:rsidR="41590B60" w:rsidRDefault="41590B60" w:rsidP="41590B60">
      <w:pPr>
        <w:pStyle w:val="ListParagraph"/>
        <w:spacing w:line="276" w:lineRule="auto"/>
        <w:ind w:left="567" w:right="140" w:hanging="567"/>
        <w:rPr>
          <w:rFonts w:ascii="Inter" w:hAnsi="Inter" w:cs="Arial"/>
        </w:rPr>
      </w:pPr>
    </w:p>
    <w:p w14:paraId="199CB29C" w14:textId="77777777" w:rsidR="00D06EAE" w:rsidRPr="009D7A02" w:rsidRDefault="00D06EAE" w:rsidP="428697FB">
      <w:pPr>
        <w:pStyle w:val="ListParagraph"/>
        <w:spacing w:line="276" w:lineRule="auto"/>
        <w:ind w:left="0" w:right="140"/>
        <w:jc w:val="center"/>
        <w:rPr>
          <w:rFonts w:ascii="Inter" w:hAnsi="Inter" w:cs="Arial"/>
          <w:b/>
          <w:bCs/>
        </w:rPr>
      </w:pPr>
      <w:r w:rsidRPr="009D7A02">
        <w:rPr>
          <w:rFonts w:ascii="Inter" w:hAnsi="Inter" w:cs="Arial"/>
          <w:b/>
          <w:bCs/>
        </w:rPr>
        <w:t>DRAFT MAYORAL GENERAL FUNCTIONS BUDGET 2026/27</w:t>
      </w:r>
    </w:p>
    <w:p w14:paraId="4642DE16" w14:textId="3E591D91" w:rsidR="00D06EAE" w:rsidRPr="009D7A02" w:rsidRDefault="00D06EAE" w:rsidP="34A518B4">
      <w:pPr>
        <w:pStyle w:val="ListParagraph"/>
        <w:spacing w:line="276" w:lineRule="auto"/>
        <w:ind w:left="567" w:right="140" w:hanging="567"/>
        <w:rPr>
          <w:rFonts w:ascii="Inter" w:hAnsi="Inter" w:cs="Arial"/>
          <w:b/>
          <w:bCs/>
        </w:rPr>
      </w:pPr>
    </w:p>
    <w:p w14:paraId="6936610F" w14:textId="2D2FF7D8" w:rsidR="00C72F80"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All Mayoral General Function Costs are funded from the annual central government Mayoral Capacity Fund grant.  The Mayor does not currently levy a precept on Tees Valley resident local taxpayers and therefore the draft budget proposed in the table below only includes the running costs of the Mayor’s office</w:t>
      </w:r>
      <w:r w:rsidR="00CF2D59" w:rsidRPr="2DFE4DF5">
        <w:rPr>
          <w:rFonts w:ascii="Inter" w:hAnsi="Inter" w:cs="Arial"/>
        </w:rPr>
        <w:t xml:space="preserve"> including </w:t>
      </w:r>
      <w:r w:rsidR="001E2D47" w:rsidRPr="2DFE4DF5">
        <w:rPr>
          <w:rFonts w:ascii="Inter" w:hAnsi="Inter" w:cs="Arial"/>
        </w:rPr>
        <w:t>recharges for support services.</w:t>
      </w:r>
    </w:p>
    <w:p w14:paraId="4C53B274" w14:textId="418DCB4A" w:rsidR="16FD5590" w:rsidRPr="009D7A02" w:rsidRDefault="16FD5590" w:rsidP="16FD5590">
      <w:pPr>
        <w:spacing w:line="276" w:lineRule="auto"/>
        <w:ind w:right="140"/>
        <w:rPr>
          <w:rFonts w:ascii="Inter" w:hAnsi="Inter" w:cs="Arial"/>
        </w:rPr>
      </w:pPr>
    </w:p>
    <w:p w14:paraId="51703A53" w14:textId="0C1150A6" w:rsidR="00C72F80" w:rsidRPr="00C555DC" w:rsidRDefault="004A1716" w:rsidP="00B923C4">
      <w:pPr>
        <w:spacing w:line="276" w:lineRule="auto"/>
        <w:ind w:right="140"/>
        <w:jc w:val="center"/>
        <w:rPr>
          <w:rFonts w:ascii="Inter" w:hAnsi="Inter" w:cs="Arial"/>
          <w:b/>
          <w:bCs/>
        </w:rPr>
      </w:pPr>
      <w:r w:rsidRPr="00BDD6E3">
        <w:rPr>
          <w:rFonts w:ascii="Inter" w:hAnsi="Inter" w:cs="Arial"/>
          <w:b/>
          <w:bCs/>
        </w:rPr>
        <w:t xml:space="preserve">Table </w:t>
      </w:r>
      <w:r w:rsidR="009A3025">
        <w:rPr>
          <w:rFonts w:ascii="Inter" w:hAnsi="Inter" w:cs="Arial"/>
          <w:b/>
          <w:bCs/>
        </w:rPr>
        <w:t>3</w:t>
      </w:r>
      <w:r w:rsidR="1EA1D4DF" w:rsidRPr="00BDD6E3">
        <w:rPr>
          <w:rFonts w:ascii="Inter" w:hAnsi="Inter" w:cs="Arial"/>
          <w:b/>
          <w:bCs/>
        </w:rPr>
        <w:t>:</w:t>
      </w:r>
      <w:r w:rsidR="000350C0">
        <w:rPr>
          <w:rFonts w:ascii="Inter" w:hAnsi="Inter" w:cs="Arial"/>
          <w:b/>
          <w:bCs/>
        </w:rPr>
        <w:t xml:space="preserve"> </w:t>
      </w:r>
      <w:r w:rsidR="1EA1D4DF" w:rsidRPr="00BDD6E3">
        <w:rPr>
          <w:rFonts w:ascii="Inter" w:hAnsi="Inter" w:cs="Arial"/>
          <w:b/>
          <w:bCs/>
        </w:rPr>
        <w:t>Mayoral Office Budget 2026/27</w:t>
      </w:r>
    </w:p>
    <w:p w14:paraId="507172B6" w14:textId="2CA8778C" w:rsidR="36CAA511" w:rsidRDefault="36CAA511" w:rsidP="36CAA511">
      <w:pPr>
        <w:spacing w:line="276" w:lineRule="auto"/>
        <w:ind w:right="140"/>
        <w:jc w:val="center"/>
        <w:rPr>
          <w:rFonts w:ascii="Inter" w:hAnsi="Inter" w:cs="Arial"/>
          <w:b/>
          <w:bCs/>
        </w:rPr>
      </w:pPr>
    </w:p>
    <w:tbl>
      <w:tblPr>
        <w:tblW w:w="10348" w:type="dxa"/>
        <w:tblInd w:w="-15" w:type="dxa"/>
        <w:tblLook w:val="04A0" w:firstRow="1" w:lastRow="0" w:firstColumn="1" w:lastColumn="0" w:noHBand="0" w:noVBand="1"/>
      </w:tblPr>
      <w:tblGrid>
        <w:gridCol w:w="1444"/>
        <w:gridCol w:w="3406"/>
        <w:gridCol w:w="1560"/>
        <w:gridCol w:w="1417"/>
        <w:gridCol w:w="1245"/>
        <w:gridCol w:w="1276"/>
      </w:tblGrid>
      <w:tr w:rsidR="000471C2" w:rsidRPr="000471C2" w14:paraId="6206C150" w14:textId="77777777" w:rsidTr="000471C2">
        <w:trPr>
          <w:trHeight w:val="550"/>
        </w:trPr>
        <w:tc>
          <w:tcPr>
            <w:tcW w:w="1444" w:type="dxa"/>
            <w:tcBorders>
              <w:top w:val="single" w:sz="12" w:space="0" w:color="auto"/>
              <w:left w:val="single" w:sz="12" w:space="0" w:color="auto"/>
              <w:bottom w:val="nil"/>
              <w:right w:val="single" w:sz="4" w:space="0" w:color="auto"/>
            </w:tcBorders>
            <w:shd w:val="clear" w:color="000000" w:fill="E8E8E8"/>
            <w:hideMark/>
          </w:tcPr>
          <w:p w14:paraId="564881B8"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Budget 2025/26</w:t>
            </w:r>
          </w:p>
        </w:tc>
        <w:tc>
          <w:tcPr>
            <w:tcW w:w="3406" w:type="dxa"/>
            <w:tcBorders>
              <w:top w:val="single" w:sz="12" w:space="0" w:color="auto"/>
              <w:left w:val="single" w:sz="12" w:space="0" w:color="auto"/>
              <w:bottom w:val="nil"/>
              <w:right w:val="single" w:sz="12" w:space="0" w:color="auto"/>
            </w:tcBorders>
            <w:shd w:val="clear" w:color="000000" w:fill="E8E8E8"/>
            <w:noWrap/>
            <w:vAlign w:val="bottom"/>
            <w:hideMark/>
          </w:tcPr>
          <w:p w14:paraId="36A54C9B" w14:textId="77777777" w:rsidR="000471C2" w:rsidRPr="000471C2" w:rsidRDefault="000471C2" w:rsidP="000471C2">
            <w:pP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MAYOR</w:t>
            </w:r>
          </w:p>
        </w:tc>
        <w:tc>
          <w:tcPr>
            <w:tcW w:w="1560" w:type="dxa"/>
            <w:tcBorders>
              <w:top w:val="single" w:sz="12" w:space="0" w:color="auto"/>
              <w:left w:val="nil"/>
              <w:bottom w:val="nil"/>
              <w:right w:val="single" w:sz="12" w:space="0" w:color="auto"/>
            </w:tcBorders>
            <w:shd w:val="clear" w:color="000000" w:fill="E8E8E8"/>
            <w:hideMark/>
          </w:tcPr>
          <w:p w14:paraId="7E78AB33"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Budget 2026/27</w:t>
            </w:r>
          </w:p>
        </w:tc>
        <w:tc>
          <w:tcPr>
            <w:tcW w:w="1417" w:type="dxa"/>
            <w:tcBorders>
              <w:top w:val="single" w:sz="12" w:space="0" w:color="auto"/>
              <w:left w:val="nil"/>
              <w:bottom w:val="nil"/>
              <w:right w:val="single" w:sz="12" w:space="0" w:color="auto"/>
            </w:tcBorders>
            <w:shd w:val="clear" w:color="000000" w:fill="E8E8E8"/>
            <w:hideMark/>
          </w:tcPr>
          <w:p w14:paraId="764CBC02"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Budget 2027/28</w:t>
            </w:r>
          </w:p>
        </w:tc>
        <w:tc>
          <w:tcPr>
            <w:tcW w:w="1245" w:type="dxa"/>
            <w:tcBorders>
              <w:top w:val="single" w:sz="12" w:space="0" w:color="auto"/>
              <w:left w:val="nil"/>
              <w:bottom w:val="nil"/>
              <w:right w:val="single" w:sz="12" w:space="0" w:color="auto"/>
            </w:tcBorders>
            <w:shd w:val="clear" w:color="000000" w:fill="E8E8E8"/>
            <w:hideMark/>
          </w:tcPr>
          <w:p w14:paraId="78D59BEC"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Budget 2028/29</w:t>
            </w:r>
          </w:p>
        </w:tc>
        <w:tc>
          <w:tcPr>
            <w:tcW w:w="1276" w:type="dxa"/>
            <w:tcBorders>
              <w:top w:val="single" w:sz="12" w:space="0" w:color="auto"/>
              <w:left w:val="nil"/>
              <w:bottom w:val="nil"/>
              <w:right w:val="single" w:sz="12" w:space="0" w:color="auto"/>
            </w:tcBorders>
            <w:shd w:val="clear" w:color="000000" w:fill="E8E8E8"/>
            <w:hideMark/>
          </w:tcPr>
          <w:p w14:paraId="35CBAF09"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Budget 2029/30</w:t>
            </w:r>
          </w:p>
        </w:tc>
      </w:tr>
      <w:tr w:rsidR="000471C2" w:rsidRPr="000471C2" w14:paraId="41B5D6A0" w14:textId="77777777" w:rsidTr="000471C2">
        <w:trPr>
          <w:trHeight w:val="280"/>
        </w:trPr>
        <w:tc>
          <w:tcPr>
            <w:tcW w:w="1444" w:type="dxa"/>
            <w:tcBorders>
              <w:top w:val="nil"/>
              <w:left w:val="single" w:sz="12" w:space="0" w:color="auto"/>
              <w:bottom w:val="single" w:sz="12" w:space="0" w:color="auto"/>
              <w:right w:val="single" w:sz="4" w:space="0" w:color="auto"/>
            </w:tcBorders>
            <w:shd w:val="clear" w:color="000000" w:fill="E8E8E8"/>
            <w:noWrap/>
            <w:vAlign w:val="bottom"/>
            <w:hideMark/>
          </w:tcPr>
          <w:p w14:paraId="3832FA1F"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£'000</w:t>
            </w:r>
          </w:p>
        </w:tc>
        <w:tc>
          <w:tcPr>
            <w:tcW w:w="3406" w:type="dxa"/>
            <w:tcBorders>
              <w:top w:val="nil"/>
              <w:left w:val="single" w:sz="12" w:space="0" w:color="auto"/>
              <w:bottom w:val="single" w:sz="12" w:space="0" w:color="auto"/>
              <w:right w:val="single" w:sz="12" w:space="0" w:color="auto"/>
            </w:tcBorders>
            <w:shd w:val="clear" w:color="000000" w:fill="E8E8E8"/>
            <w:noWrap/>
            <w:vAlign w:val="bottom"/>
            <w:hideMark/>
          </w:tcPr>
          <w:p w14:paraId="16B24BDC" w14:textId="77777777" w:rsidR="000471C2" w:rsidRPr="000471C2" w:rsidRDefault="000471C2" w:rsidP="000471C2">
            <w:pP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 xml:space="preserve">Type of Expenditure / Income </w:t>
            </w:r>
          </w:p>
        </w:tc>
        <w:tc>
          <w:tcPr>
            <w:tcW w:w="1560" w:type="dxa"/>
            <w:tcBorders>
              <w:top w:val="nil"/>
              <w:left w:val="nil"/>
              <w:bottom w:val="single" w:sz="12" w:space="0" w:color="auto"/>
              <w:right w:val="single" w:sz="12" w:space="0" w:color="auto"/>
            </w:tcBorders>
            <w:shd w:val="clear" w:color="000000" w:fill="E8E8E8"/>
            <w:noWrap/>
            <w:vAlign w:val="bottom"/>
            <w:hideMark/>
          </w:tcPr>
          <w:p w14:paraId="5114ED2B"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£'000</w:t>
            </w:r>
          </w:p>
        </w:tc>
        <w:tc>
          <w:tcPr>
            <w:tcW w:w="1417" w:type="dxa"/>
            <w:tcBorders>
              <w:top w:val="nil"/>
              <w:left w:val="nil"/>
              <w:bottom w:val="single" w:sz="12" w:space="0" w:color="auto"/>
              <w:right w:val="single" w:sz="12" w:space="0" w:color="auto"/>
            </w:tcBorders>
            <w:shd w:val="clear" w:color="000000" w:fill="E8E8E8"/>
            <w:noWrap/>
            <w:vAlign w:val="bottom"/>
            <w:hideMark/>
          </w:tcPr>
          <w:p w14:paraId="2ADB77F1"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£'000</w:t>
            </w:r>
          </w:p>
        </w:tc>
        <w:tc>
          <w:tcPr>
            <w:tcW w:w="1245" w:type="dxa"/>
            <w:tcBorders>
              <w:top w:val="nil"/>
              <w:left w:val="nil"/>
              <w:bottom w:val="single" w:sz="12" w:space="0" w:color="auto"/>
              <w:right w:val="single" w:sz="12" w:space="0" w:color="auto"/>
            </w:tcBorders>
            <w:shd w:val="clear" w:color="000000" w:fill="E8E8E8"/>
            <w:noWrap/>
            <w:vAlign w:val="bottom"/>
            <w:hideMark/>
          </w:tcPr>
          <w:p w14:paraId="409532EA"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£'000</w:t>
            </w:r>
          </w:p>
        </w:tc>
        <w:tc>
          <w:tcPr>
            <w:tcW w:w="1276" w:type="dxa"/>
            <w:tcBorders>
              <w:top w:val="nil"/>
              <w:left w:val="nil"/>
              <w:bottom w:val="single" w:sz="12" w:space="0" w:color="auto"/>
              <w:right w:val="single" w:sz="12" w:space="0" w:color="auto"/>
            </w:tcBorders>
            <w:shd w:val="clear" w:color="000000" w:fill="E8E8E8"/>
            <w:noWrap/>
            <w:vAlign w:val="bottom"/>
            <w:hideMark/>
          </w:tcPr>
          <w:p w14:paraId="36CF1718" w14:textId="77777777" w:rsidR="000471C2" w:rsidRPr="000471C2" w:rsidRDefault="000471C2" w:rsidP="000471C2">
            <w:pPr>
              <w:jc w:val="cente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£'000</w:t>
            </w:r>
          </w:p>
        </w:tc>
      </w:tr>
      <w:tr w:rsidR="000471C2" w:rsidRPr="000471C2" w14:paraId="11C5A584" w14:textId="77777777" w:rsidTr="00AB2260">
        <w:trPr>
          <w:trHeight w:val="323"/>
        </w:trPr>
        <w:tc>
          <w:tcPr>
            <w:tcW w:w="1444" w:type="dxa"/>
            <w:tcBorders>
              <w:top w:val="single" w:sz="4" w:space="0" w:color="auto"/>
              <w:left w:val="single" w:sz="12" w:space="0" w:color="auto"/>
              <w:bottom w:val="single" w:sz="4" w:space="0" w:color="auto"/>
              <w:right w:val="single" w:sz="4" w:space="0" w:color="auto"/>
            </w:tcBorders>
            <w:noWrap/>
            <w:vAlign w:val="center"/>
            <w:hideMark/>
          </w:tcPr>
          <w:p w14:paraId="77F788F8" w14:textId="0525DC97"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263</w:t>
            </w:r>
          </w:p>
        </w:tc>
        <w:tc>
          <w:tcPr>
            <w:tcW w:w="3406" w:type="dxa"/>
            <w:tcBorders>
              <w:top w:val="single" w:sz="4" w:space="0" w:color="auto"/>
              <w:left w:val="single" w:sz="12" w:space="0" w:color="auto"/>
              <w:bottom w:val="single" w:sz="4" w:space="0" w:color="auto"/>
              <w:right w:val="single" w:sz="12" w:space="0" w:color="auto"/>
            </w:tcBorders>
            <w:shd w:val="clear" w:color="000000" w:fill="E8E8E8"/>
            <w:vAlign w:val="bottom"/>
            <w:hideMark/>
          </w:tcPr>
          <w:p w14:paraId="6E4E91EB" w14:textId="77777777" w:rsidR="000471C2" w:rsidRPr="000471C2" w:rsidRDefault="000471C2" w:rsidP="000471C2">
            <w:pPr>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Employees</w:t>
            </w:r>
          </w:p>
        </w:tc>
        <w:tc>
          <w:tcPr>
            <w:tcW w:w="1560" w:type="dxa"/>
            <w:tcBorders>
              <w:top w:val="single" w:sz="4" w:space="0" w:color="auto"/>
              <w:left w:val="nil"/>
              <w:bottom w:val="single" w:sz="4" w:space="0" w:color="auto"/>
              <w:right w:val="single" w:sz="4" w:space="0" w:color="auto"/>
            </w:tcBorders>
            <w:noWrap/>
            <w:vAlign w:val="center"/>
            <w:hideMark/>
          </w:tcPr>
          <w:p w14:paraId="5740E014" w14:textId="34DE7BCF" w:rsidR="000471C2" w:rsidRPr="000471C2" w:rsidRDefault="00124D0B" w:rsidP="00AB226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452</w:t>
            </w:r>
          </w:p>
        </w:tc>
        <w:tc>
          <w:tcPr>
            <w:tcW w:w="1417" w:type="dxa"/>
            <w:tcBorders>
              <w:top w:val="single" w:sz="4" w:space="0" w:color="auto"/>
              <w:left w:val="single" w:sz="12" w:space="0" w:color="auto"/>
              <w:bottom w:val="single" w:sz="4" w:space="0" w:color="auto"/>
              <w:right w:val="single" w:sz="4" w:space="0" w:color="auto"/>
            </w:tcBorders>
            <w:noWrap/>
            <w:vAlign w:val="center"/>
            <w:hideMark/>
          </w:tcPr>
          <w:p w14:paraId="6EE134E8" w14:textId="0163FA70" w:rsidR="000471C2" w:rsidRPr="000471C2" w:rsidRDefault="00124D0B" w:rsidP="00AB226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464</w:t>
            </w:r>
          </w:p>
        </w:tc>
        <w:tc>
          <w:tcPr>
            <w:tcW w:w="1245" w:type="dxa"/>
            <w:tcBorders>
              <w:top w:val="single" w:sz="4" w:space="0" w:color="auto"/>
              <w:left w:val="single" w:sz="12" w:space="0" w:color="auto"/>
              <w:bottom w:val="single" w:sz="4" w:space="0" w:color="auto"/>
              <w:right w:val="single" w:sz="4" w:space="0" w:color="auto"/>
            </w:tcBorders>
            <w:noWrap/>
            <w:vAlign w:val="center"/>
            <w:hideMark/>
          </w:tcPr>
          <w:p w14:paraId="50B799B9" w14:textId="464931EC" w:rsidR="000471C2" w:rsidRPr="000471C2" w:rsidRDefault="00124D0B" w:rsidP="00AB226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476</w:t>
            </w:r>
          </w:p>
        </w:tc>
        <w:tc>
          <w:tcPr>
            <w:tcW w:w="1276" w:type="dxa"/>
            <w:tcBorders>
              <w:top w:val="single" w:sz="4" w:space="0" w:color="auto"/>
              <w:left w:val="single" w:sz="12" w:space="0" w:color="auto"/>
              <w:bottom w:val="single" w:sz="4" w:space="0" w:color="auto"/>
              <w:right w:val="single" w:sz="12" w:space="0" w:color="auto"/>
            </w:tcBorders>
            <w:noWrap/>
            <w:vAlign w:val="center"/>
            <w:hideMark/>
          </w:tcPr>
          <w:p w14:paraId="2E912859" w14:textId="52969946" w:rsidR="000471C2" w:rsidRPr="000471C2" w:rsidRDefault="00124D0B" w:rsidP="00AB226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489</w:t>
            </w:r>
          </w:p>
        </w:tc>
      </w:tr>
      <w:tr w:rsidR="000471C2" w:rsidRPr="000471C2" w14:paraId="72C18B1B" w14:textId="77777777" w:rsidTr="00AB2260">
        <w:trPr>
          <w:trHeight w:val="394"/>
        </w:trPr>
        <w:tc>
          <w:tcPr>
            <w:tcW w:w="1444" w:type="dxa"/>
            <w:tcBorders>
              <w:top w:val="nil"/>
              <w:left w:val="single" w:sz="12" w:space="0" w:color="auto"/>
              <w:bottom w:val="single" w:sz="4" w:space="0" w:color="auto"/>
              <w:right w:val="single" w:sz="4" w:space="0" w:color="auto"/>
            </w:tcBorders>
            <w:noWrap/>
            <w:vAlign w:val="center"/>
            <w:hideMark/>
          </w:tcPr>
          <w:p w14:paraId="666B81DB" w14:textId="43E2B3EB"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3406" w:type="dxa"/>
            <w:tcBorders>
              <w:top w:val="nil"/>
              <w:left w:val="single" w:sz="12" w:space="0" w:color="auto"/>
              <w:bottom w:val="single" w:sz="4" w:space="0" w:color="auto"/>
              <w:right w:val="single" w:sz="12" w:space="0" w:color="auto"/>
            </w:tcBorders>
            <w:shd w:val="clear" w:color="000000" w:fill="E8E8E8"/>
            <w:vAlign w:val="bottom"/>
            <w:hideMark/>
          </w:tcPr>
          <w:p w14:paraId="4561A4A5" w14:textId="77777777" w:rsidR="000471C2" w:rsidRPr="000471C2" w:rsidRDefault="000471C2" w:rsidP="000471C2">
            <w:pPr>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Premises</w:t>
            </w:r>
          </w:p>
        </w:tc>
        <w:tc>
          <w:tcPr>
            <w:tcW w:w="1560" w:type="dxa"/>
            <w:tcBorders>
              <w:top w:val="nil"/>
              <w:left w:val="nil"/>
              <w:bottom w:val="single" w:sz="4" w:space="0" w:color="auto"/>
              <w:right w:val="single" w:sz="4" w:space="0" w:color="auto"/>
            </w:tcBorders>
            <w:noWrap/>
            <w:vAlign w:val="center"/>
            <w:hideMark/>
          </w:tcPr>
          <w:p w14:paraId="4DF631F8" w14:textId="5ADAA3F8"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417" w:type="dxa"/>
            <w:tcBorders>
              <w:top w:val="nil"/>
              <w:left w:val="single" w:sz="12" w:space="0" w:color="auto"/>
              <w:bottom w:val="single" w:sz="4" w:space="0" w:color="auto"/>
              <w:right w:val="single" w:sz="4" w:space="0" w:color="auto"/>
            </w:tcBorders>
            <w:noWrap/>
            <w:vAlign w:val="center"/>
            <w:hideMark/>
          </w:tcPr>
          <w:p w14:paraId="78E7E3BD" w14:textId="5F6F18CD"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245" w:type="dxa"/>
            <w:tcBorders>
              <w:top w:val="nil"/>
              <w:left w:val="single" w:sz="12" w:space="0" w:color="auto"/>
              <w:bottom w:val="single" w:sz="4" w:space="0" w:color="auto"/>
              <w:right w:val="single" w:sz="4" w:space="0" w:color="auto"/>
            </w:tcBorders>
            <w:noWrap/>
            <w:vAlign w:val="center"/>
            <w:hideMark/>
          </w:tcPr>
          <w:p w14:paraId="7318B208" w14:textId="49E432C3"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276" w:type="dxa"/>
            <w:tcBorders>
              <w:top w:val="nil"/>
              <w:left w:val="single" w:sz="12" w:space="0" w:color="auto"/>
              <w:bottom w:val="single" w:sz="4" w:space="0" w:color="auto"/>
              <w:right w:val="single" w:sz="12" w:space="0" w:color="auto"/>
            </w:tcBorders>
            <w:noWrap/>
            <w:vAlign w:val="center"/>
            <w:hideMark/>
          </w:tcPr>
          <w:p w14:paraId="1572DE29" w14:textId="5D6AF16D"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r>
      <w:tr w:rsidR="000471C2" w:rsidRPr="000471C2" w14:paraId="38B7B121" w14:textId="77777777" w:rsidTr="00AB2260">
        <w:trPr>
          <w:trHeight w:val="274"/>
        </w:trPr>
        <w:tc>
          <w:tcPr>
            <w:tcW w:w="1444" w:type="dxa"/>
            <w:tcBorders>
              <w:top w:val="nil"/>
              <w:left w:val="single" w:sz="12" w:space="0" w:color="auto"/>
              <w:bottom w:val="single" w:sz="4" w:space="0" w:color="auto"/>
              <w:right w:val="single" w:sz="4" w:space="0" w:color="auto"/>
            </w:tcBorders>
            <w:noWrap/>
            <w:vAlign w:val="center"/>
            <w:hideMark/>
          </w:tcPr>
          <w:p w14:paraId="06027E34" w14:textId="3F18B2B0"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9</w:t>
            </w:r>
          </w:p>
        </w:tc>
        <w:tc>
          <w:tcPr>
            <w:tcW w:w="3406" w:type="dxa"/>
            <w:tcBorders>
              <w:top w:val="nil"/>
              <w:left w:val="single" w:sz="12" w:space="0" w:color="auto"/>
              <w:bottom w:val="single" w:sz="4" w:space="0" w:color="auto"/>
              <w:right w:val="single" w:sz="12" w:space="0" w:color="auto"/>
            </w:tcBorders>
            <w:shd w:val="clear" w:color="000000" w:fill="E8E8E8"/>
            <w:vAlign w:val="bottom"/>
            <w:hideMark/>
          </w:tcPr>
          <w:p w14:paraId="28B039E1" w14:textId="77777777" w:rsidR="000471C2" w:rsidRPr="000471C2" w:rsidRDefault="000471C2" w:rsidP="000471C2">
            <w:pPr>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Transport</w:t>
            </w:r>
          </w:p>
        </w:tc>
        <w:tc>
          <w:tcPr>
            <w:tcW w:w="1560" w:type="dxa"/>
            <w:tcBorders>
              <w:top w:val="nil"/>
              <w:left w:val="nil"/>
              <w:bottom w:val="single" w:sz="4" w:space="0" w:color="auto"/>
              <w:right w:val="single" w:sz="4" w:space="0" w:color="auto"/>
            </w:tcBorders>
            <w:noWrap/>
            <w:vAlign w:val="center"/>
            <w:hideMark/>
          </w:tcPr>
          <w:p w14:paraId="0BA92DEE" w14:textId="06406F36"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1</w:t>
            </w:r>
            <w:r w:rsidR="005A0662">
              <w:rPr>
                <w:rFonts w:eastAsia="Times New Roman" w:cs="Times New Roman"/>
                <w:color w:val="000000"/>
                <w:kern w:val="0"/>
                <w:sz w:val="20"/>
                <w:szCs w:val="20"/>
                <w:lang w:eastAsia="en-GB"/>
                <w14:ligatures w14:val="none"/>
              </w:rPr>
              <w:t>3</w:t>
            </w:r>
          </w:p>
        </w:tc>
        <w:tc>
          <w:tcPr>
            <w:tcW w:w="1417" w:type="dxa"/>
            <w:tcBorders>
              <w:top w:val="nil"/>
              <w:left w:val="single" w:sz="12" w:space="0" w:color="auto"/>
              <w:bottom w:val="single" w:sz="4" w:space="0" w:color="auto"/>
              <w:right w:val="single" w:sz="4" w:space="0" w:color="auto"/>
            </w:tcBorders>
            <w:noWrap/>
            <w:vAlign w:val="center"/>
            <w:hideMark/>
          </w:tcPr>
          <w:p w14:paraId="7453B7FC" w14:textId="5272BA17"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1</w:t>
            </w:r>
            <w:r w:rsidR="005A0662">
              <w:rPr>
                <w:rFonts w:eastAsia="Times New Roman" w:cs="Times New Roman"/>
                <w:color w:val="000000"/>
                <w:kern w:val="0"/>
                <w:sz w:val="20"/>
                <w:szCs w:val="20"/>
                <w:lang w:eastAsia="en-GB"/>
                <w14:ligatures w14:val="none"/>
              </w:rPr>
              <w:t>3</w:t>
            </w:r>
          </w:p>
        </w:tc>
        <w:tc>
          <w:tcPr>
            <w:tcW w:w="1245" w:type="dxa"/>
            <w:tcBorders>
              <w:top w:val="nil"/>
              <w:left w:val="single" w:sz="12" w:space="0" w:color="auto"/>
              <w:bottom w:val="single" w:sz="4" w:space="0" w:color="auto"/>
              <w:right w:val="single" w:sz="4" w:space="0" w:color="auto"/>
            </w:tcBorders>
            <w:noWrap/>
            <w:vAlign w:val="center"/>
            <w:hideMark/>
          </w:tcPr>
          <w:p w14:paraId="4AC6250C" w14:textId="10F2F2BC"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1</w:t>
            </w:r>
            <w:r w:rsidR="005A0662">
              <w:rPr>
                <w:rFonts w:eastAsia="Times New Roman" w:cs="Times New Roman"/>
                <w:color w:val="000000"/>
                <w:kern w:val="0"/>
                <w:sz w:val="20"/>
                <w:szCs w:val="20"/>
                <w:lang w:eastAsia="en-GB"/>
                <w14:ligatures w14:val="none"/>
              </w:rPr>
              <w:t>3</w:t>
            </w:r>
          </w:p>
        </w:tc>
        <w:tc>
          <w:tcPr>
            <w:tcW w:w="1276" w:type="dxa"/>
            <w:tcBorders>
              <w:top w:val="nil"/>
              <w:left w:val="single" w:sz="12" w:space="0" w:color="auto"/>
              <w:bottom w:val="single" w:sz="4" w:space="0" w:color="auto"/>
              <w:right w:val="single" w:sz="12" w:space="0" w:color="auto"/>
            </w:tcBorders>
            <w:noWrap/>
            <w:vAlign w:val="center"/>
            <w:hideMark/>
          </w:tcPr>
          <w:p w14:paraId="2E8829C8" w14:textId="45E32771"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1</w:t>
            </w:r>
            <w:r w:rsidR="005A0662">
              <w:rPr>
                <w:rFonts w:eastAsia="Times New Roman" w:cs="Times New Roman"/>
                <w:color w:val="000000"/>
                <w:kern w:val="0"/>
                <w:sz w:val="20"/>
                <w:szCs w:val="20"/>
                <w:lang w:eastAsia="en-GB"/>
                <w14:ligatures w14:val="none"/>
              </w:rPr>
              <w:t>3</w:t>
            </w:r>
          </w:p>
        </w:tc>
      </w:tr>
      <w:tr w:rsidR="000471C2" w:rsidRPr="000471C2" w14:paraId="5CEE015C" w14:textId="77777777" w:rsidTr="00AB2260">
        <w:trPr>
          <w:trHeight w:val="270"/>
        </w:trPr>
        <w:tc>
          <w:tcPr>
            <w:tcW w:w="1444" w:type="dxa"/>
            <w:tcBorders>
              <w:top w:val="nil"/>
              <w:left w:val="single" w:sz="12" w:space="0" w:color="auto"/>
              <w:bottom w:val="single" w:sz="4" w:space="0" w:color="auto"/>
              <w:right w:val="single" w:sz="4" w:space="0" w:color="auto"/>
            </w:tcBorders>
            <w:noWrap/>
            <w:vAlign w:val="center"/>
            <w:hideMark/>
          </w:tcPr>
          <w:p w14:paraId="7A12FFCC" w14:textId="59272C92"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3406" w:type="dxa"/>
            <w:tcBorders>
              <w:top w:val="nil"/>
              <w:left w:val="single" w:sz="12" w:space="0" w:color="auto"/>
              <w:bottom w:val="single" w:sz="4" w:space="0" w:color="auto"/>
              <w:right w:val="single" w:sz="12" w:space="0" w:color="auto"/>
            </w:tcBorders>
            <w:shd w:val="clear" w:color="000000" w:fill="E8E8E8"/>
            <w:vAlign w:val="bottom"/>
            <w:hideMark/>
          </w:tcPr>
          <w:p w14:paraId="45EC39E2" w14:textId="77777777" w:rsidR="000471C2" w:rsidRPr="000471C2" w:rsidRDefault="000471C2" w:rsidP="000471C2">
            <w:pPr>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Supplies and Services</w:t>
            </w:r>
          </w:p>
        </w:tc>
        <w:tc>
          <w:tcPr>
            <w:tcW w:w="1560" w:type="dxa"/>
            <w:tcBorders>
              <w:top w:val="nil"/>
              <w:left w:val="nil"/>
              <w:bottom w:val="single" w:sz="4" w:space="0" w:color="auto"/>
              <w:right w:val="single" w:sz="4" w:space="0" w:color="auto"/>
            </w:tcBorders>
            <w:noWrap/>
            <w:vAlign w:val="center"/>
            <w:hideMark/>
          </w:tcPr>
          <w:p w14:paraId="127567D9" w14:textId="456CF3A1"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1</w:t>
            </w:r>
          </w:p>
        </w:tc>
        <w:tc>
          <w:tcPr>
            <w:tcW w:w="1417" w:type="dxa"/>
            <w:tcBorders>
              <w:top w:val="nil"/>
              <w:left w:val="single" w:sz="12" w:space="0" w:color="auto"/>
              <w:bottom w:val="single" w:sz="4" w:space="0" w:color="auto"/>
              <w:right w:val="single" w:sz="4" w:space="0" w:color="auto"/>
            </w:tcBorders>
            <w:noWrap/>
            <w:vAlign w:val="center"/>
            <w:hideMark/>
          </w:tcPr>
          <w:p w14:paraId="3D1DB404" w14:textId="02FF9899"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1</w:t>
            </w:r>
          </w:p>
        </w:tc>
        <w:tc>
          <w:tcPr>
            <w:tcW w:w="1245" w:type="dxa"/>
            <w:tcBorders>
              <w:top w:val="nil"/>
              <w:left w:val="single" w:sz="12" w:space="0" w:color="auto"/>
              <w:bottom w:val="single" w:sz="4" w:space="0" w:color="auto"/>
              <w:right w:val="single" w:sz="4" w:space="0" w:color="auto"/>
            </w:tcBorders>
            <w:noWrap/>
            <w:vAlign w:val="center"/>
            <w:hideMark/>
          </w:tcPr>
          <w:p w14:paraId="378FE288" w14:textId="2B3340C4"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1</w:t>
            </w:r>
          </w:p>
        </w:tc>
        <w:tc>
          <w:tcPr>
            <w:tcW w:w="1276" w:type="dxa"/>
            <w:tcBorders>
              <w:top w:val="nil"/>
              <w:left w:val="single" w:sz="12" w:space="0" w:color="auto"/>
              <w:bottom w:val="single" w:sz="4" w:space="0" w:color="auto"/>
              <w:right w:val="single" w:sz="12" w:space="0" w:color="auto"/>
            </w:tcBorders>
            <w:noWrap/>
            <w:vAlign w:val="center"/>
            <w:hideMark/>
          </w:tcPr>
          <w:p w14:paraId="25F25685" w14:textId="50765397"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1</w:t>
            </w:r>
          </w:p>
        </w:tc>
      </w:tr>
      <w:tr w:rsidR="000471C2" w:rsidRPr="000471C2" w14:paraId="2571CBAF" w14:textId="77777777" w:rsidTr="00AB2260">
        <w:trPr>
          <w:trHeight w:val="270"/>
        </w:trPr>
        <w:tc>
          <w:tcPr>
            <w:tcW w:w="1444" w:type="dxa"/>
            <w:tcBorders>
              <w:top w:val="nil"/>
              <w:left w:val="single" w:sz="12" w:space="0" w:color="auto"/>
              <w:bottom w:val="single" w:sz="4" w:space="0" w:color="auto"/>
              <w:right w:val="single" w:sz="4" w:space="0" w:color="auto"/>
            </w:tcBorders>
            <w:noWrap/>
            <w:vAlign w:val="center"/>
            <w:hideMark/>
          </w:tcPr>
          <w:p w14:paraId="31B7067B" w14:textId="07498BCB"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3406" w:type="dxa"/>
            <w:tcBorders>
              <w:top w:val="nil"/>
              <w:left w:val="single" w:sz="12" w:space="0" w:color="auto"/>
              <w:bottom w:val="single" w:sz="4" w:space="0" w:color="auto"/>
              <w:right w:val="single" w:sz="12" w:space="0" w:color="auto"/>
            </w:tcBorders>
            <w:shd w:val="clear" w:color="000000" w:fill="E8E8E8"/>
            <w:vAlign w:val="bottom"/>
            <w:hideMark/>
          </w:tcPr>
          <w:p w14:paraId="55807147" w14:textId="4B42EB1B" w:rsidR="000471C2" w:rsidRPr="000471C2" w:rsidRDefault="00D631AB" w:rsidP="000471C2">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Support Services charge</w:t>
            </w:r>
          </w:p>
        </w:tc>
        <w:tc>
          <w:tcPr>
            <w:tcW w:w="1560" w:type="dxa"/>
            <w:tcBorders>
              <w:top w:val="nil"/>
              <w:left w:val="nil"/>
              <w:bottom w:val="single" w:sz="4" w:space="0" w:color="auto"/>
              <w:right w:val="single" w:sz="4" w:space="0" w:color="auto"/>
            </w:tcBorders>
            <w:noWrap/>
            <w:vAlign w:val="center"/>
            <w:hideMark/>
          </w:tcPr>
          <w:p w14:paraId="3B868D68" w14:textId="6C720256" w:rsidR="000471C2" w:rsidRPr="000471C2" w:rsidRDefault="005A0662" w:rsidP="00AB226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20</w:t>
            </w:r>
          </w:p>
        </w:tc>
        <w:tc>
          <w:tcPr>
            <w:tcW w:w="1417" w:type="dxa"/>
            <w:tcBorders>
              <w:top w:val="nil"/>
              <w:left w:val="single" w:sz="12" w:space="0" w:color="auto"/>
              <w:bottom w:val="single" w:sz="4" w:space="0" w:color="auto"/>
              <w:right w:val="single" w:sz="4" w:space="0" w:color="auto"/>
            </w:tcBorders>
            <w:noWrap/>
            <w:vAlign w:val="center"/>
            <w:hideMark/>
          </w:tcPr>
          <w:p w14:paraId="33EB95BD" w14:textId="242EAE80" w:rsidR="000471C2" w:rsidRPr="000471C2" w:rsidRDefault="00982EE5" w:rsidP="00AB226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2</w:t>
            </w:r>
            <w:r w:rsidR="005A0662">
              <w:rPr>
                <w:rFonts w:eastAsia="Times New Roman" w:cs="Times New Roman"/>
                <w:color w:val="000000"/>
                <w:kern w:val="0"/>
                <w:sz w:val="20"/>
                <w:szCs w:val="20"/>
                <w:lang w:eastAsia="en-GB"/>
                <w14:ligatures w14:val="none"/>
              </w:rPr>
              <w:t>1</w:t>
            </w:r>
          </w:p>
        </w:tc>
        <w:tc>
          <w:tcPr>
            <w:tcW w:w="1245" w:type="dxa"/>
            <w:tcBorders>
              <w:top w:val="nil"/>
              <w:left w:val="single" w:sz="12" w:space="0" w:color="auto"/>
              <w:bottom w:val="single" w:sz="4" w:space="0" w:color="auto"/>
              <w:right w:val="single" w:sz="4" w:space="0" w:color="auto"/>
            </w:tcBorders>
            <w:noWrap/>
            <w:vAlign w:val="center"/>
            <w:hideMark/>
          </w:tcPr>
          <w:p w14:paraId="6FDC4E05" w14:textId="0F590BAA" w:rsidR="000471C2" w:rsidRPr="000471C2" w:rsidRDefault="00982EE5" w:rsidP="00AB226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2</w:t>
            </w:r>
            <w:r w:rsidR="005A0662">
              <w:rPr>
                <w:rFonts w:eastAsia="Times New Roman" w:cs="Times New Roman"/>
                <w:color w:val="000000"/>
                <w:kern w:val="0"/>
                <w:sz w:val="20"/>
                <w:szCs w:val="20"/>
                <w:lang w:eastAsia="en-GB"/>
                <w14:ligatures w14:val="none"/>
              </w:rPr>
              <w:t>1</w:t>
            </w:r>
          </w:p>
        </w:tc>
        <w:tc>
          <w:tcPr>
            <w:tcW w:w="1276" w:type="dxa"/>
            <w:tcBorders>
              <w:top w:val="nil"/>
              <w:left w:val="single" w:sz="12" w:space="0" w:color="auto"/>
              <w:bottom w:val="single" w:sz="4" w:space="0" w:color="auto"/>
              <w:right w:val="single" w:sz="12" w:space="0" w:color="auto"/>
            </w:tcBorders>
            <w:noWrap/>
            <w:vAlign w:val="center"/>
            <w:hideMark/>
          </w:tcPr>
          <w:p w14:paraId="71AA1844" w14:textId="0F4DA70D" w:rsidR="000471C2" w:rsidRPr="000471C2" w:rsidRDefault="00982EE5" w:rsidP="00AB226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2</w:t>
            </w:r>
            <w:r w:rsidR="005A0662">
              <w:rPr>
                <w:rFonts w:eastAsia="Times New Roman" w:cs="Times New Roman"/>
                <w:color w:val="000000"/>
                <w:kern w:val="0"/>
                <w:sz w:val="20"/>
                <w:szCs w:val="20"/>
                <w:lang w:eastAsia="en-GB"/>
                <w14:ligatures w14:val="none"/>
              </w:rPr>
              <w:t>1</w:t>
            </w:r>
          </w:p>
        </w:tc>
      </w:tr>
      <w:tr w:rsidR="000471C2" w:rsidRPr="000471C2" w14:paraId="505B3095" w14:textId="77777777" w:rsidTr="00AB2260">
        <w:trPr>
          <w:trHeight w:val="270"/>
        </w:trPr>
        <w:tc>
          <w:tcPr>
            <w:tcW w:w="1444" w:type="dxa"/>
            <w:tcBorders>
              <w:top w:val="nil"/>
              <w:left w:val="single" w:sz="12" w:space="0" w:color="auto"/>
              <w:bottom w:val="single" w:sz="4" w:space="0" w:color="auto"/>
              <w:right w:val="single" w:sz="4" w:space="0" w:color="auto"/>
            </w:tcBorders>
            <w:noWrap/>
            <w:vAlign w:val="center"/>
            <w:hideMark/>
          </w:tcPr>
          <w:p w14:paraId="199FD078" w14:textId="60F9EBA8"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3406" w:type="dxa"/>
            <w:tcBorders>
              <w:top w:val="nil"/>
              <w:left w:val="single" w:sz="12" w:space="0" w:color="auto"/>
              <w:bottom w:val="single" w:sz="4" w:space="0" w:color="auto"/>
              <w:right w:val="single" w:sz="12" w:space="0" w:color="auto"/>
            </w:tcBorders>
            <w:shd w:val="clear" w:color="000000" w:fill="E8E8E8"/>
            <w:vAlign w:val="bottom"/>
            <w:hideMark/>
          </w:tcPr>
          <w:p w14:paraId="230D418B" w14:textId="77777777" w:rsidR="000471C2" w:rsidRPr="000471C2" w:rsidRDefault="000471C2" w:rsidP="000471C2">
            <w:pPr>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Third Party Payments</w:t>
            </w:r>
          </w:p>
        </w:tc>
        <w:tc>
          <w:tcPr>
            <w:tcW w:w="1560" w:type="dxa"/>
            <w:tcBorders>
              <w:top w:val="nil"/>
              <w:left w:val="nil"/>
              <w:bottom w:val="single" w:sz="4" w:space="0" w:color="auto"/>
              <w:right w:val="single" w:sz="4" w:space="0" w:color="auto"/>
            </w:tcBorders>
            <w:noWrap/>
            <w:vAlign w:val="center"/>
            <w:hideMark/>
          </w:tcPr>
          <w:p w14:paraId="4E9842F1" w14:textId="05B96A87"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417" w:type="dxa"/>
            <w:tcBorders>
              <w:top w:val="nil"/>
              <w:left w:val="single" w:sz="12" w:space="0" w:color="auto"/>
              <w:bottom w:val="single" w:sz="4" w:space="0" w:color="auto"/>
              <w:right w:val="single" w:sz="4" w:space="0" w:color="auto"/>
            </w:tcBorders>
            <w:noWrap/>
            <w:vAlign w:val="center"/>
            <w:hideMark/>
          </w:tcPr>
          <w:p w14:paraId="424D0266" w14:textId="2DB55AA7"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245" w:type="dxa"/>
            <w:tcBorders>
              <w:top w:val="nil"/>
              <w:left w:val="single" w:sz="12" w:space="0" w:color="auto"/>
              <w:bottom w:val="single" w:sz="4" w:space="0" w:color="auto"/>
              <w:right w:val="single" w:sz="4" w:space="0" w:color="auto"/>
            </w:tcBorders>
            <w:noWrap/>
            <w:vAlign w:val="center"/>
            <w:hideMark/>
          </w:tcPr>
          <w:p w14:paraId="1F61DDA5" w14:textId="1666AD67"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276" w:type="dxa"/>
            <w:tcBorders>
              <w:top w:val="nil"/>
              <w:left w:val="single" w:sz="12" w:space="0" w:color="auto"/>
              <w:bottom w:val="single" w:sz="4" w:space="0" w:color="auto"/>
              <w:right w:val="single" w:sz="12" w:space="0" w:color="auto"/>
            </w:tcBorders>
            <w:noWrap/>
            <w:vAlign w:val="center"/>
            <w:hideMark/>
          </w:tcPr>
          <w:p w14:paraId="0880CD93" w14:textId="2E8008E3"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r>
      <w:tr w:rsidR="000471C2" w:rsidRPr="000471C2" w14:paraId="293C253F" w14:textId="77777777" w:rsidTr="00AB2260">
        <w:trPr>
          <w:trHeight w:val="280"/>
        </w:trPr>
        <w:tc>
          <w:tcPr>
            <w:tcW w:w="1444" w:type="dxa"/>
            <w:tcBorders>
              <w:top w:val="nil"/>
              <w:left w:val="single" w:sz="12" w:space="0" w:color="auto"/>
              <w:bottom w:val="single" w:sz="4" w:space="0" w:color="auto"/>
              <w:right w:val="single" w:sz="4" w:space="0" w:color="auto"/>
            </w:tcBorders>
            <w:noWrap/>
            <w:vAlign w:val="center"/>
            <w:hideMark/>
          </w:tcPr>
          <w:p w14:paraId="55639619" w14:textId="1F78F67E" w:rsidR="000471C2" w:rsidRPr="000471C2" w:rsidRDefault="000471C2" w:rsidP="00AB2260">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3406" w:type="dxa"/>
            <w:tcBorders>
              <w:top w:val="nil"/>
              <w:left w:val="single" w:sz="12" w:space="0" w:color="auto"/>
              <w:bottom w:val="single" w:sz="4" w:space="0" w:color="auto"/>
              <w:right w:val="single" w:sz="12" w:space="0" w:color="auto"/>
            </w:tcBorders>
            <w:shd w:val="clear" w:color="000000" w:fill="E8E8E8"/>
            <w:vAlign w:val="bottom"/>
            <w:hideMark/>
          </w:tcPr>
          <w:p w14:paraId="68823258" w14:textId="2A9040D8" w:rsidR="000471C2" w:rsidRPr="000471C2" w:rsidRDefault="000471C2" w:rsidP="000471C2">
            <w:pPr>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 xml:space="preserve">Central </w:t>
            </w:r>
            <w:r w:rsidR="00982EE5">
              <w:rPr>
                <w:rFonts w:eastAsia="Times New Roman" w:cs="Times New Roman"/>
                <w:color w:val="000000"/>
                <w:kern w:val="0"/>
                <w:sz w:val="20"/>
                <w:szCs w:val="20"/>
                <w:lang w:eastAsia="en-GB"/>
                <w14:ligatures w14:val="none"/>
              </w:rPr>
              <w:t>Costs</w:t>
            </w:r>
          </w:p>
        </w:tc>
        <w:tc>
          <w:tcPr>
            <w:tcW w:w="1560" w:type="dxa"/>
            <w:tcBorders>
              <w:top w:val="nil"/>
              <w:left w:val="nil"/>
              <w:bottom w:val="single" w:sz="4" w:space="0" w:color="auto"/>
              <w:right w:val="single" w:sz="4" w:space="0" w:color="auto"/>
            </w:tcBorders>
            <w:noWrap/>
            <w:vAlign w:val="bottom"/>
            <w:hideMark/>
          </w:tcPr>
          <w:p w14:paraId="65D23E12" w14:textId="19471970" w:rsidR="000471C2" w:rsidRPr="000471C2" w:rsidRDefault="000471C2" w:rsidP="00982EE5">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417" w:type="dxa"/>
            <w:tcBorders>
              <w:top w:val="nil"/>
              <w:left w:val="single" w:sz="12" w:space="0" w:color="auto"/>
              <w:bottom w:val="single" w:sz="4" w:space="0" w:color="auto"/>
              <w:right w:val="single" w:sz="4" w:space="0" w:color="auto"/>
            </w:tcBorders>
            <w:noWrap/>
            <w:vAlign w:val="bottom"/>
            <w:hideMark/>
          </w:tcPr>
          <w:p w14:paraId="4DA42C27" w14:textId="0CE41BE1" w:rsidR="000471C2" w:rsidRPr="000471C2" w:rsidRDefault="000471C2" w:rsidP="00982EE5">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245" w:type="dxa"/>
            <w:tcBorders>
              <w:top w:val="nil"/>
              <w:left w:val="single" w:sz="12" w:space="0" w:color="auto"/>
              <w:bottom w:val="single" w:sz="4" w:space="0" w:color="auto"/>
              <w:right w:val="single" w:sz="4" w:space="0" w:color="auto"/>
            </w:tcBorders>
            <w:noWrap/>
            <w:vAlign w:val="bottom"/>
            <w:hideMark/>
          </w:tcPr>
          <w:p w14:paraId="2E3EB86C" w14:textId="39B27E14" w:rsidR="000471C2" w:rsidRPr="000471C2" w:rsidRDefault="000471C2" w:rsidP="00982EE5">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c>
          <w:tcPr>
            <w:tcW w:w="1276" w:type="dxa"/>
            <w:tcBorders>
              <w:top w:val="nil"/>
              <w:left w:val="single" w:sz="12" w:space="0" w:color="auto"/>
              <w:bottom w:val="single" w:sz="4" w:space="0" w:color="auto"/>
              <w:right w:val="single" w:sz="12" w:space="0" w:color="auto"/>
            </w:tcBorders>
            <w:noWrap/>
            <w:vAlign w:val="bottom"/>
            <w:hideMark/>
          </w:tcPr>
          <w:p w14:paraId="3735E26C" w14:textId="305A5C92" w:rsidR="000471C2" w:rsidRPr="000471C2" w:rsidRDefault="000471C2" w:rsidP="00982EE5">
            <w:pPr>
              <w:jc w:val="right"/>
              <w:rPr>
                <w:rFonts w:eastAsia="Times New Roman" w:cs="Times New Roman"/>
                <w:color w:val="000000"/>
                <w:kern w:val="0"/>
                <w:sz w:val="20"/>
                <w:szCs w:val="20"/>
                <w:lang w:eastAsia="en-GB"/>
                <w14:ligatures w14:val="none"/>
              </w:rPr>
            </w:pPr>
            <w:r w:rsidRPr="000471C2">
              <w:rPr>
                <w:rFonts w:eastAsia="Times New Roman" w:cs="Times New Roman"/>
                <w:color w:val="000000"/>
                <w:kern w:val="0"/>
                <w:sz w:val="20"/>
                <w:szCs w:val="20"/>
                <w:lang w:eastAsia="en-GB"/>
                <w14:ligatures w14:val="none"/>
              </w:rPr>
              <w:t>-</w:t>
            </w:r>
          </w:p>
        </w:tc>
      </w:tr>
      <w:tr w:rsidR="000471C2" w:rsidRPr="000471C2" w14:paraId="5FFB619A" w14:textId="77777777" w:rsidTr="00AB2260">
        <w:trPr>
          <w:trHeight w:val="290"/>
        </w:trPr>
        <w:tc>
          <w:tcPr>
            <w:tcW w:w="1444" w:type="dxa"/>
            <w:tcBorders>
              <w:top w:val="single" w:sz="12" w:space="0" w:color="auto"/>
              <w:left w:val="single" w:sz="12" w:space="0" w:color="auto"/>
              <w:bottom w:val="single" w:sz="12" w:space="0" w:color="auto"/>
              <w:right w:val="single" w:sz="4" w:space="0" w:color="auto"/>
            </w:tcBorders>
            <w:shd w:val="clear" w:color="000000" w:fill="E8E8E8"/>
            <w:noWrap/>
            <w:vAlign w:val="center"/>
            <w:hideMark/>
          </w:tcPr>
          <w:p w14:paraId="036DBDD4" w14:textId="431F19EB" w:rsidR="000471C2" w:rsidRPr="000471C2" w:rsidRDefault="000471C2" w:rsidP="00AB2260">
            <w:pPr>
              <w:jc w:val="right"/>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272</w:t>
            </w:r>
          </w:p>
        </w:tc>
        <w:tc>
          <w:tcPr>
            <w:tcW w:w="3406" w:type="dxa"/>
            <w:tcBorders>
              <w:top w:val="single" w:sz="12" w:space="0" w:color="auto"/>
              <w:left w:val="single" w:sz="12" w:space="0" w:color="auto"/>
              <w:bottom w:val="single" w:sz="12" w:space="0" w:color="auto"/>
              <w:right w:val="single" w:sz="12" w:space="0" w:color="auto"/>
            </w:tcBorders>
            <w:shd w:val="clear" w:color="000000" w:fill="E8E8E8"/>
            <w:noWrap/>
            <w:vAlign w:val="bottom"/>
            <w:hideMark/>
          </w:tcPr>
          <w:p w14:paraId="24181CA0" w14:textId="77777777" w:rsidR="000471C2" w:rsidRPr="000471C2" w:rsidRDefault="000471C2" w:rsidP="000471C2">
            <w:pPr>
              <w:rPr>
                <w:rFonts w:eastAsia="Times New Roman" w:cs="Times New Roman"/>
                <w:b/>
                <w:bCs/>
                <w:color w:val="000000"/>
                <w:kern w:val="0"/>
                <w:sz w:val="20"/>
                <w:szCs w:val="20"/>
                <w:lang w:eastAsia="en-GB"/>
                <w14:ligatures w14:val="none"/>
              </w:rPr>
            </w:pPr>
            <w:r w:rsidRPr="000471C2">
              <w:rPr>
                <w:rFonts w:eastAsia="Times New Roman" w:cs="Times New Roman"/>
                <w:b/>
                <w:bCs/>
                <w:color w:val="000000"/>
                <w:kern w:val="0"/>
                <w:sz w:val="20"/>
                <w:szCs w:val="20"/>
                <w:lang w:eastAsia="en-GB"/>
                <w14:ligatures w14:val="none"/>
              </w:rPr>
              <w:t>Total Expenditure</w:t>
            </w:r>
          </w:p>
        </w:tc>
        <w:tc>
          <w:tcPr>
            <w:tcW w:w="1560" w:type="dxa"/>
            <w:tcBorders>
              <w:top w:val="single" w:sz="12" w:space="0" w:color="auto"/>
              <w:left w:val="nil"/>
              <w:bottom w:val="single" w:sz="12" w:space="0" w:color="auto"/>
              <w:right w:val="single" w:sz="4" w:space="0" w:color="auto"/>
            </w:tcBorders>
            <w:shd w:val="clear" w:color="000000" w:fill="E8E8E8"/>
            <w:noWrap/>
            <w:vAlign w:val="bottom"/>
            <w:hideMark/>
          </w:tcPr>
          <w:p w14:paraId="4C0ED8DA" w14:textId="2D209739" w:rsidR="000471C2" w:rsidRPr="000471C2" w:rsidRDefault="00804724" w:rsidP="007637E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48</w:t>
            </w:r>
            <w:r w:rsidR="00191CE8">
              <w:rPr>
                <w:rFonts w:eastAsia="Times New Roman" w:cs="Times New Roman"/>
                <w:b/>
                <w:bCs/>
                <w:color w:val="000000"/>
                <w:kern w:val="0"/>
                <w:sz w:val="20"/>
                <w:szCs w:val="20"/>
                <w:lang w:eastAsia="en-GB"/>
                <w14:ligatures w14:val="none"/>
              </w:rPr>
              <w:t>6</w:t>
            </w:r>
          </w:p>
        </w:tc>
        <w:tc>
          <w:tcPr>
            <w:tcW w:w="1417" w:type="dxa"/>
            <w:tcBorders>
              <w:top w:val="single" w:sz="12" w:space="0" w:color="auto"/>
              <w:left w:val="single" w:sz="12" w:space="0" w:color="auto"/>
              <w:bottom w:val="single" w:sz="12" w:space="0" w:color="auto"/>
              <w:right w:val="single" w:sz="4" w:space="0" w:color="auto"/>
            </w:tcBorders>
            <w:shd w:val="clear" w:color="000000" w:fill="E8E8E8"/>
            <w:noWrap/>
            <w:vAlign w:val="bottom"/>
            <w:hideMark/>
          </w:tcPr>
          <w:p w14:paraId="70A1FBE8" w14:textId="1D486BC9" w:rsidR="000471C2" w:rsidRPr="000471C2" w:rsidRDefault="00804724" w:rsidP="007637E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49</w:t>
            </w:r>
            <w:r w:rsidR="003A2826">
              <w:rPr>
                <w:rFonts w:eastAsia="Times New Roman" w:cs="Times New Roman"/>
                <w:b/>
                <w:bCs/>
                <w:color w:val="000000"/>
                <w:kern w:val="0"/>
                <w:sz w:val="20"/>
                <w:szCs w:val="20"/>
                <w:lang w:eastAsia="en-GB"/>
                <w14:ligatures w14:val="none"/>
              </w:rPr>
              <w:t>9</w:t>
            </w:r>
          </w:p>
        </w:tc>
        <w:tc>
          <w:tcPr>
            <w:tcW w:w="1245" w:type="dxa"/>
            <w:tcBorders>
              <w:top w:val="single" w:sz="12" w:space="0" w:color="auto"/>
              <w:left w:val="single" w:sz="12" w:space="0" w:color="auto"/>
              <w:bottom w:val="single" w:sz="12" w:space="0" w:color="auto"/>
              <w:right w:val="single" w:sz="4" w:space="0" w:color="auto"/>
            </w:tcBorders>
            <w:shd w:val="clear" w:color="000000" w:fill="E8E8E8"/>
            <w:noWrap/>
            <w:vAlign w:val="bottom"/>
            <w:hideMark/>
          </w:tcPr>
          <w:p w14:paraId="1149F5E2" w14:textId="21476932" w:rsidR="000471C2" w:rsidRPr="000471C2" w:rsidRDefault="00804724" w:rsidP="007637E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51</w:t>
            </w:r>
            <w:r w:rsidR="003A2826">
              <w:rPr>
                <w:rFonts w:eastAsia="Times New Roman" w:cs="Times New Roman"/>
                <w:b/>
                <w:bCs/>
                <w:color w:val="000000"/>
                <w:kern w:val="0"/>
                <w:sz w:val="20"/>
                <w:szCs w:val="20"/>
                <w:lang w:eastAsia="en-GB"/>
                <w14:ligatures w14:val="none"/>
              </w:rPr>
              <w:t>1</w:t>
            </w:r>
          </w:p>
        </w:tc>
        <w:tc>
          <w:tcPr>
            <w:tcW w:w="1276" w:type="dxa"/>
            <w:tcBorders>
              <w:top w:val="single" w:sz="12" w:space="0" w:color="auto"/>
              <w:left w:val="single" w:sz="12" w:space="0" w:color="auto"/>
              <w:bottom w:val="single" w:sz="12" w:space="0" w:color="auto"/>
              <w:right w:val="single" w:sz="12" w:space="0" w:color="auto"/>
            </w:tcBorders>
            <w:shd w:val="clear" w:color="000000" w:fill="E8E8E8"/>
            <w:noWrap/>
            <w:vAlign w:val="bottom"/>
            <w:hideMark/>
          </w:tcPr>
          <w:p w14:paraId="5D6AA9A7" w14:textId="23968963" w:rsidR="000471C2" w:rsidRPr="000471C2" w:rsidRDefault="00CC1E57" w:rsidP="007637E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52</w:t>
            </w:r>
            <w:r w:rsidR="003A2826">
              <w:rPr>
                <w:rFonts w:eastAsia="Times New Roman" w:cs="Times New Roman"/>
                <w:b/>
                <w:bCs/>
                <w:color w:val="000000"/>
                <w:kern w:val="0"/>
                <w:sz w:val="20"/>
                <w:szCs w:val="20"/>
                <w:lang w:eastAsia="en-GB"/>
                <w14:ligatures w14:val="none"/>
              </w:rPr>
              <w:t>4</w:t>
            </w:r>
          </w:p>
        </w:tc>
      </w:tr>
    </w:tbl>
    <w:p w14:paraId="38F8164F" w14:textId="77777777" w:rsidR="00266CE1" w:rsidRDefault="00266CE1" w:rsidP="388F85F4">
      <w:pPr>
        <w:pStyle w:val="ListParagraph"/>
        <w:spacing w:line="276" w:lineRule="auto"/>
        <w:ind w:left="567" w:right="140"/>
        <w:rPr>
          <w:rFonts w:ascii="Inter" w:hAnsi="Inter" w:cs="Arial"/>
        </w:rPr>
      </w:pPr>
    </w:p>
    <w:p w14:paraId="0FF6E6BE" w14:textId="77777777" w:rsidR="009175BC" w:rsidRDefault="009175BC" w:rsidP="004A1716">
      <w:pPr>
        <w:pStyle w:val="ListParagraph"/>
        <w:spacing w:line="276" w:lineRule="auto"/>
        <w:ind w:left="567" w:right="140"/>
        <w:rPr>
          <w:rFonts w:ascii="Inter" w:hAnsi="Inter" w:cs="Arial"/>
        </w:rPr>
      </w:pPr>
    </w:p>
    <w:p w14:paraId="7D455C60" w14:textId="4F07CB83" w:rsidR="1BA0E427" w:rsidRDefault="1BA0E427"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lastRenderedPageBreak/>
        <w:t xml:space="preserve">In the normal course of events Mayoral Elections are held every 4 </w:t>
      </w:r>
      <w:r w:rsidR="58197D83" w:rsidRPr="2DFE4DF5">
        <w:rPr>
          <w:rFonts w:ascii="Inter" w:hAnsi="Inter" w:cs="Arial"/>
        </w:rPr>
        <w:t>years</w:t>
      </w:r>
      <w:r w:rsidR="7CFA948A" w:rsidRPr="2DFE4DF5">
        <w:rPr>
          <w:rFonts w:ascii="Inter" w:hAnsi="Inter" w:cs="Arial"/>
        </w:rPr>
        <w:t xml:space="preserve"> </w:t>
      </w:r>
      <w:r w:rsidR="3D9F8963" w:rsidRPr="2DFE4DF5">
        <w:rPr>
          <w:rFonts w:ascii="Inter" w:hAnsi="Inter" w:cs="Arial"/>
        </w:rPr>
        <w:t>and</w:t>
      </w:r>
      <w:r w:rsidR="7CFA948A" w:rsidRPr="2DFE4DF5">
        <w:rPr>
          <w:rFonts w:ascii="Inter" w:hAnsi="Inter" w:cs="Arial"/>
        </w:rPr>
        <w:t xml:space="preserve"> the next election </w:t>
      </w:r>
      <w:r w:rsidR="1B983020" w:rsidRPr="2DFE4DF5">
        <w:rPr>
          <w:rFonts w:ascii="Inter" w:hAnsi="Inter" w:cs="Arial"/>
        </w:rPr>
        <w:t xml:space="preserve">is </w:t>
      </w:r>
      <w:r w:rsidR="7CFA948A" w:rsidRPr="2DFE4DF5">
        <w:rPr>
          <w:rFonts w:ascii="Inter" w:hAnsi="Inter" w:cs="Arial"/>
        </w:rPr>
        <w:t xml:space="preserve">scheduled for May 2028. These elections are </w:t>
      </w:r>
      <w:r w:rsidR="7CFA948A" w:rsidRPr="2DFE4DF5">
        <w:rPr>
          <w:rFonts w:ascii="Inter" w:eastAsia="Inter" w:hAnsi="Inter" w:cs="Inter"/>
        </w:rPr>
        <w:t xml:space="preserve">predominantly held alongside the area’s local Council Elections, and TVCA contributes to the overall cost of delivering them. As core TVCA funding is held at a cash‑flat level each year, it is prudent to create a reserve by setting aside an annual contribution toward these quadrennial </w:t>
      </w:r>
      <w:r w:rsidR="1B265FD4" w:rsidRPr="2DFE4DF5">
        <w:rPr>
          <w:rFonts w:ascii="Inter" w:eastAsia="Inter" w:hAnsi="Inter" w:cs="Inter"/>
        </w:rPr>
        <w:t>costs.</w:t>
      </w:r>
    </w:p>
    <w:p w14:paraId="45E3E664" w14:textId="0090E0D3" w:rsidR="1BA0E427" w:rsidRDefault="1BA0E427" w:rsidP="2712E15D">
      <w:pPr>
        <w:pStyle w:val="ListParagraph"/>
        <w:spacing w:line="276" w:lineRule="auto"/>
        <w:ind w:left="567" w:right="140" w:hanging="567"/>
        <w:rPr>
          <w:rFonts w:ascii="Inter" w:hAnsi="Inter" w:cs="Arial"/>
        </w:rPr>
      </w:pPr>
    </w:p>
    <w:p w14:paraId="162F0C4D" w14:textId="01C9287D" w:rsidR="1BA0E427" w:rsidRDefault="1B265FD4" w:rsidP="2DFE4DF5">
      <w:pPr>
        <w:pStyle w:val="ListParagraph"/>
        <w:numPr>
          <w:ilvl w:val="0"/>
          <w:numId w:val="4"/>
        </w:numPr>
        <w:spacing w:line="276" w:lineRule="auto"/>
        <w:ind w:left="567" w:right="140" w:hanging="567"/>
        <w:rPr>
          <w:rFonts w:ascii="Inter" w:hAnsi="Inter" w:cs="Arial"/>
        </w:rPr>
      </w:pPr>
      <w:r w:rsidRPr="2DFE4DF5">
        <w:rPr>
          <w:rFonts w:ascii="Inter" w:eastAsia="Inter" w:hAnsi="Inter" w:cs="Inter"/>
        </w:rPr>
        <w:t>The</w:t>
      </w:r>
      <w:r w:rsidR="7CFA948A" w:rsidRPr="2DFE4DF5">
        <w:rPr>
          <w:rFonts w:ascii="Inter" w:eastAsia="Inter" w:hAnsi="Inter" w:cs="Inter"/>
        </w:rPr>
        <w:t xml:space="preserve"> approach to be adopted for conducting the 2028 election is currently under review, and the final cost of the chosen approach has not yet been confirmed. However, adjusting the cost of the 2024 election for inflation indicates that a prudent provision for 2028 would be approximately £1.5</w:t>
      </w:r>
      <w:r w:rsidR="23F6DDD3" w:rsidRPr="2DFE4DF5">
        <w:rPr>
          <w:rFonts w:ascii="Inter" w:eastAsia="Inter" w:hAnsi="Inter" w:cs="Inter"/>
        </w:rPr>
        <w:t>00</w:t>
      </w:r>
      <w:r w:rsidR="4720B00E" w:rsidRPr="2DFE4DF5">
        <w:rPr>
          <w:rFonts w:ascii="Inter" w:eastAsia="Inter" w:hAnsi="Inter" w:cs="Inter"/>
        </w:rPr>
        <w:t>m</w:t>
      </w:r>
      <w:r w:rsidR="7CFA948A" w:rsidRPr="2DFE4DF5">
        <w:rPr>
          <w:rFonts w:ascii="Inter" w:eastAsia="Inter" w:hAnsi="Inter" w:cs="Inter"/>
        </w:rPr>
        <w:t>.</w:t>
      </w:r>
      <w:r w:rsidR="5B7661D7" w:rsidRPr="2DFE4DF5">
        <w:rPr>
          <w:rFonts w:ascii="Inter" w:eastAsia="Inter" w:hAnsi="Inter" w:cs="Inter"/>
        </w:rPr>
        <w:t xml:space="preserve"> </w:t>
      </w:r>
      <w:r w:rsidR="7CFA948A" w:rsidRPr="2DFE4DF5">
        <w:rPr>
          <w:rFonts w:ascii="Inter" w:eastAsia="Inter" w:hAnsi="Inter" w:cs="Inter"/>
        </w:rPr>
        <w:t>Establishing an annual contribution of £0.500</w:t>
      </w:r>
      <w:r w:rsidR="5DCEB4E1" w:rsidRPr="2DFE4DF5">
        <w:rPr>
          <w:rFonts w:ascii="Inter" w:eastAsia="Inter" w:hAnsi="Inter" w:cs="Inter"/>
        </w:rPr>
        <w:t>m</w:t>
      </w:r>
      <w:r w:rsidR="7CFA948A" w:rsidRPr="2DFE4DF5">
        <w:rPr>
          <w:rFonts w:ascii="Inter" w:eastAsia="Inter" w:hAnsi="Inter" w:cs="Inter"/>
        </w:rPr>
        <w:t xml:space="preserve"> from 2026/27 onwards will allow funds of £1.500m to be available in 2028/29, the year of the next scheduled election.</w:t>
      </w:r>
    </w:p>
    <w:p w14:paraId="144A4F86" w14:textId="4185F301" w:rsidR="4070EC30" w:rsidRDefault="4070EC30" w:rsidP="4070EC30">
      <w:pPr>
        <w:spacing w:line="276" w:lineRule="auto"/>
        <w:ind w:right="140"/>
        <w:rPr>
          <w:rFonts w:ascii="Inter" w:hAnsi="Inter" w:cs="Arial"/>
        </w:rPr>
      </w:pPr>
    </w:p>
    <w:p w14:paraId="3709C77F" w14:textId="7D3DECE7" w:rsidR="00D06EAE" w:rsidRPr="009D7A02" w:rsidRDefault="00D06EAE" w:rsidP="5EA76782">
      <w:pPr>
        <w:pStyle w:val="ListParagraph"/>
        <w:spacing w:line="276" w:lineRule="auto"/>
        <w:ind w:left="567" w:right="140" w:hanging="567"/>
        <w:rPr>
          <w:rFonts w:ascii="Inter" w:hAnsi="Inter" w:cs="Arial"/>
        </w:rPr>
      </w:pPr>
    </w:p>
    <w:p w14:paraId="3DDECE85" w14:textId="5C6E584C" w:rsidR="00D06EAE" w:rsidRPr="009D7A02" w:rsidRDefault="00D06EAE"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The</w:t>
      </w:r>
      <w:r w:rsidR="0F213B86" w:rsidRPr="2DFE4DF5">
        <w:rPr>
          <w:rFonts w:ascii="Inter" w:hAnsi="Inter" w:cs="Arial"/>
        </w:rPr>
        <w:t>refore, the</w:t>
      </w:r>
      <w:r w:rsidRPr="2DFE4DF5">
        <w:rPr>
          <w:rFonts w:ascii="Inter" w:hAnsi="Inter" w:cs="Arial"/>
        </w:rPr>
        <w:t xml:space="preserve"> proposed budget sets aside an annual contribution of £</w:t>
      </w:r>
      <w:r w:rsidR="2F1B1360" w:rsidRPr="2DFE4DF5">
        <w:rPr>
          <w:rFonts w:ascii="Inter" w:hAnsi="Inter" w:cs="Arial"/>
        </w:rPr>
        <w:t>0.5</w:t>
      </w:r>
      <w:r w:rsidR="63336E0E" w:rsidRPr="2DFE4DF5">
        <w:rPr>
          <w:rFonts w:ascii="Inter" w:hAnsi="Inter" w:cs="Arial"/>
        </w:rPr>
        <w:t>00</w:t>
      </w:r>
      <w:r w:rsidR="2F1B1360" w:rsidRPr="2DFE4DF5">
        <w:rPr>
          <w:rFonts w:ascii="Inter" w:hAnsi="Inter" w:cs="Arial"/>
        </w:rPr>
        <w:t>m</w:t>
      </w:r>
      <w:r w:rsidRPr="2DFE4DF5">
        <w:rPr>
          <w:rFonts w:ascii="Inter" w:hAnsi="Inter" w:cs="Arial"/>
        </w:rPr>
        <w:t xml:space="preserve"> to cover mayoral election costs which will be held in a </w:t>
      </w:r>
      <w:r w:rsidR="20E48BB0" w:rsidRPr="2DFE4DF5">
        <w:rPr>
          <w:rFonts w:ascii="Inter" w:hAnsi="Inter" w:cs="Arial"/>
        </w:rPr>
        <w:t xml:space="preserve">specific </w:t>
      </w:r>
      <w:r w:rsidRPr="2DFE4DF5">
        <w:rPr>
          <w:rFonts w:ascii="Inter" w:hAnsi="Inter" w:cs="Arial"/>
        </w:rPr>
        <w:t>Earmarked Reserve</w:t>
      </w:r>
      <w:r w:rsidR="49572B9C" w:rsidRPr="2DFE4DF5">
        <w:rPr>
          <w:rFonts w:ascii="Inter" w:hAnsi="Inter" w:cs="Arial"/>
        </w:rPr>
        <w:t xml:space="preserve"> hence the increase from 2025/26</w:t>
      </w:r>
      <w:r w:rsidRPr="2DFE4DF5">
        <w:rPr>
          <w:rFonts w:ascii="Inter" w:hAnsi="Inter" w:cs="Arial"/>
        </w:rPr>
        <w:t>.</w:t>
      </w:r>
    </w:p>
    <w:p w14:paraId="50F73A87" w14:textId="77777777" w:rsidR="00D06EAE" w:rsidRPr="009D7A02" w:rsidRDefault="00D06EAE" w:rsidP="00D06EAE">
      <w:pPr>
        <w:pStyle w:val="ListParagraph"/>
        <w:spacing w:line="276" w:lineRule="auto"/>
        <w:ind w:left="0" w:right="140"/>
        <w:rPr>
          <w:rFonts w:ascii="Inter" w:hAnsi="Inter" w:cs="Arial"/>
        </w:rPr>
      </w:pPr>
    </w:p>
    <w:p w14:paraId="7EC0458B" w14:textId="5ABDD2FA" w:rsidR="00266CE1" w:rsidRPr="00266CE1" w:rsidRDefault="00D06EAE" w:rsidP="488C40C3">
      <w:pPr>
        <w:spacing w:line="276" w:lineRule="auto"/>
        <w:ind w:firstLine="567"/>
        <w:rPr>
          <w:rFonts w:ascii="Inter" w:hAnsi="Inter" w:cs="Arial"/>
          <w:b/>
        </w:rPr>
      </w:pPr>
      <w:r w:rsidRPr="00A55302">
        <w:rPr>
          <w:rFonts w:ascii="Inter" w:hAnsi="Inter" w:cs="Arial"/>
          <w:b/>
          <w:bCs/>
        </w:rPr>
        <w:t>Transport Charges</w:t>
      </w:r>
    </w:p>
    <w:p w14:paraId="299D425D" w14:textId="77777777"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As highlighted above, Combined Authorities are intended to have the statutory power to levy for their transport functions. Unlike some Combined Authorities, the Tees Valley Combined Authority is not responsible for operating transport services and therefore a levy is not proposed for 2026/27.</w:t>
      </w:r>
    </w:p>
    <w:p w14:paraId="1107AD73" w14:textId="77777777" w:rsidR="00D06EAE" w:rsidRPr="009D7A02" w:rsidRDefault="00D06EAE" w:rsidP="00A55302">
      <w:pPr>
        <w:pStyle w:val="ListParagraph"/>
        <w:spacing w:line="276" w:lineRule="auto"/>
        <w:ind w:left="567" w:hanging="567"/>
        <w:rPr>
          <w:rFonts w:ascii="Inter" w:hAnsi="Inter" w:cs="Arial"/>
        </w:rPr>
      </w:pPr>
    </w:p>
    <w:p w14:paraId="6E95C913" w14:textId="77777777"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 xml:space="preserve">However, as the regional Transport Authority, TVCA does administer concessionary fares.   The </w:t>
      </w:r>
      <w:hyperlink r:id="rId11">
        <w:r w:rsidRPr="2DFE4DF5">
          <w:rPr>
            <w:rFonts w:ascii="Inter" w:hAnsi="Inter" w:cs="Arial"/>
          </w:rPr>
          <w:t>English National Concessionary Travel Scheme</w:t>
        </w:r>
      </w:hyperlink>
      <w:r w:rsidRPr="2DFE4DF5">
        <w:rPr>
          <w:rFonts w:ascii="Inter" w:hAnsi="Inter" w:cs="Arial"/>
        </w:rPr>
        <w:t xml:space="preserve"> (ENCTS) is a statutory scheme providing free off-peak local bus travel for eligible older people (State Pension Age) and disabled people across England.</w:t>
      </w:r>
    </w:p>
    <w:p w14:paraId="034FD5DE" w14:textId="0307B1C2" w:rsidR="00D06EAE" w:rsidRPr="009D7A02" w:rsidRDefault="00D06EAE" w:rsidP="00A55302">
      <w:pPr>
        <w:pStyle w:val="ListParagraph"/>
        <w:spacing w:line="276" w:lineRule="auto"/>
        <w:ind w:left="567" w:hanging="567"/>
        <w:rPr>
          <w:rFonts w:ascii="Inter" w:hAnsi="Inter" w:cs="Arial"/>
        </w:rPr>
      </w:pPr>
    </w:p>
    <w:p w14:paraId="28CC51C8" w14:textId="77777777"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The funding for this scheme is provided to bus operators for journeys undertaken by eligible pass holders. In addition to the statutory scheme, (9:30am-11 pm weekdays, all day weekends/bank holidays), Transport Authorities can offer discretionary extra enhancements to pass holders. Current enhancements in place across the Tees Valley include:</w:t>
      </w:r>
    </w:p>
    <w:p w14:paraId="416A3EF9" w14:textId="593B00F8" w:rsidR="00D06EAE" w:rsidRPr="009D7A02" w:rsidRDefault="00D06EAE" w:rsidP="00A55302">
      <w:pPr>
        <w:pStyle w:val="ListParagraph"/>
        <w:spacing w:line="276" w:lineRule="auto"/>
        <w:ind w:left="567" w:hanging="567"/>
        <w:rPr>
          <w:rFonts w:ascii="Inter" w:hAnsi="Inter" w:cs="Arial"/>
        </w:rPr>
      </w:pPr>
    </w:p>
    <w:p w14:paraId="23FEB4B8" w14:textId="77777777" w:rsidR="00D06EAE" w:rsidRPr="009D7A02" w:rsidRDefault="00D06EAE" w:rsidP="00AD4EE9">
      <w:pPr>
        <w:pStyle w:val="ListParagraph"/>
        <w:numPr>
          <w:ilvl w:val="0"/>
          <w:numId w:val="11"/>
        </w:numPr>
        <w:spacing w:line="276" w:lineRule="auto"/>
        <w:ind w:left="851" w:hanging="284"/>
        <w:rPr>
          <w:rFonts w:ascii="Inter" w:hAnsi="Inter" w:cs="Arial"/>
        </w:rPr>
      </w:pPr>
      <w:r w:rsidRPr="009D7A02">
        <w:rPr>
          <w:rFonts w:ascii="Inter" w:hAnsi="Inter" w:cs="Arial"/>
        </w:rPr>
        <w:t>Cheaper pre-9:30am fares</w:t>
      </w:r>
    </w:p>
    <w:p w14:paraId="7D67BDA6" w14:textId="77777777" w:rsidR="00D06EAE" w:rsidRPr="009D7A02" w:rsidRDefault="00D06EAE" w:rsidP="00AD4EE9">
      <w:pPr>
        <w:pStyle w:val="ListParagraph"/>
        <w:numPr>
          <w:ilvl w:val="0"/>
          <w:numId w:val="11"/>
        </w:numPr>
        <w:spacing w:line="276" w:lineRule="auto"/>
        <w:ind w:left="851" w:hanging="284"/>
        <w:rPr>
          <w:rFonts w:ascii="Inter" w:hAnsi="Inter" w:cs="Arial"/>
        </w:rPr>
      </w:pPr>
      <w:r w:rsidRPr="009D7A02">
        <w:rPr>
          <w:rFonts w:ascii="Inter" w:hAnsi="Inter" w:cs="Arial"/>
        </w:rPr>
        <w:t>Disabled persons companion passes</w:t>
      </w:r>
    </w:p>
    <w:p w14:paraId="0FE37C19" w14:textId="77777777" w:rsidR="00D06EAE" w:rsidRPr="009D7A02" w:rsidRDefault="00D06EAE" w:rsidP="00A55302">
      <w:pPr>
        <w:pStyle w:val="ListParagraph"/>
        <w:spacing w:line="276" w:lineRule="auto"/>
        <w:ind w:left="567" w:hanging="567"/>
        <w:rPr>
          <w:rFonts w:ascii="Inter" w:hAnsi="Inter" w:cs="Arial"/>
        </w:rPr>
      </w:pPr>
    </w:p>
    <w:p w14:paraId="251C890D" w14:textId="4675C17B" w:rsidR="00D06EAE" w:rsidRPr="009D7A02" w:rsidRDefault="00D06EAE" w:rsidP="2DFE4DF5">
      <w:pPr>
        <w:pStyle w:val="ListParagraph"/>
        <w:numPr>
          <w:ilvl w:val="0"/>
          <w:numId w:val="4"/>
        </w:numPr>
        <w:spacing w:line="276" w:lineRule="auto"/>
        <w:ind w:left="567" w:hanging="567"/>
        <w:rPr>
          <w:rFonts w:ascii="Inter" w:eastAsia="Inter" w:hAnsi="Inter" w:cs="Inter"/>
          <w:color w:val="242424"/>
        </w:rPr>
      </w:pPr>
      <w:r w:rsidRPr="2DFE4DF5">
        <w:rPr>
          <w:rFonts w:ascii="Inter" w:eastAsia="Inter" w:hAnsi="Inter" w:cs="Inter"/>
          <w:color w:val="242424"/>
        </w:rPr>
        <w:t xml:space="preserve">The English National Concessionary Fares Scheme (ENCTS) </w:t>
      </w:r>
      <w:r w:rsidR="00094965" w:rsidRPr="2DFE4DF5">
        <w:rPr>
          <w:rFonts w:ascii="Inter" w:eastAsia="Inter" w:hAnsi="Inter" w:cs="Inter"/>
          <w:color w:val="242424"/>
        </w:rPr>
        <w:t>MTFP</w:t>
      </w:r>
      <w:r w:rsidRPr="2DFE4DF5">
        <w:rPr>
          <w:rFonts w:ascii="Inter" w:eastAsia="Inter" w:hAnsi="Inter" w:cs="Inter"/>
          <w:color w:val="242424"/>
        </w:rPr>
        <w:t xml:space="preserve"> forecasts are set out in the table</w:t>
      </w:r>
      <w:r w:rsidR="04DFD97D" w:rsidRPr="2DFE4DF5">
        <w:rPr>
          <w:rFonts w:ascii="Inter" w:eastAsia="Inter" w:hAnsi="Inter" w:cs="Inter"/>
          <w:color w:val="242424"/>
        </w:rPr>
        <w:t xml:space="preserve"> below</w:t>
      </w:r>
      <w:r w:rsidRPr="2DFE4DF5">
        <w:rPr>
          <w:rFonts w:ascii="Inter" w:eastAsia="Inter" w:hAnsi="Inter" w:cs="Inter"/>
          <w:color w:val="242424"/>
        </w:rPr>
        <w:t>:</w:t>
      </w:r>
    </w:p>
    <w:p w14:paraId="2BC02FEB" w14:textId="25357750" w:rsidR="16FD5590" w:rsidRPr="009D7A02" w:rsidRDefault="16FD5590"/>
    <w:tbl>
      <w:tblPr>
        <w:tblW w:w="0" w:type="auto"/>
        <w:jc w:val="center"/>
        <w:tblLook w:val="06A0" w:firstRow="1" w:lastRow="0" w:firstColumn="1" w:lastColumn="0" w:noHBand="1" w:noVBand="1"/>
      </w:tblPr>
      <w:tblGrid>
        <w:gridCol w:w="1185"/>
        <w:gridCol w:w="1507"/>
        <w:gridCol w:w="2137"/>
        <w:gridCol w:w="1511"/>
        <w:gridCol w:w="1515"/>
      </w:tblGrid>
      <w:tr w:rsidR="16FD5590" w:rsidRPr="009D7A02" w14:paraId="2AC3C366" w14:textId="77777777" w:rsidTr="7DC21327">
        <w:trPr>
          <w:trHeight w:val="300"/>
          <w:jc w:val="center"/>
        </w:trPr>
        <w:tc>
          <w:tcPr>
            <w:tcW w:w="1185" w:type="dxa"/>
            <w:shd w:val="clear" w:color="auto" w:fill="D1D1D1"/>
            <w:tcMar>
              <w:top w:w="15" w:type="dxa"/>
              <w:left w:w="15" w:type="dxa"/>
              <w:bottom w:w="15" w:type="dxa"/>
              <w:right w:w="15" w:type="dxa"/>
            </w:tcMar>
            <w:vAlign w:val="center"/>
          </w:tcPr>
          <w:p w14:paraId="34262CD6" w14:textId="5AD4FA92" w:rsidR="16FD5590" w:rsidRPr="009D7A02" w:rsidRDefault="16FD5590"/>
        </w:tc>
        <w:tc>
          <w:tcPr>
            <w:tcW w:w="1507" w:type="dxa"/>
            <w:shd w:val="clear" w:color="auto" w:fill="D1D1D1"/>
            <w:tcMar>
              <w:top w:w="15" w:type="dxa"/>
              <w:left w:w="15" w:type="dxa"/>
              <w:bottom w:w="15" w:type="dxa"/>
              <w:right w:w="15" w:type="dxa"/>
            </w:tcMar>
            <w:vAlign w:val="center"/>
          </w:tcPr>
          <w:p w14:paraId="09373267" w14:textId="0F47FFA5" w:rsidR="16FD5590" w:rsidRPr="009D7A02" w:rsidRDefault="16FD5590" w:rsidP="16FD5590">
            <w:r w:rsidRPr="009D7A02">
              <w:rPr>
                <w:rFonts w:ascii="Inter" w:eastAsia="Inter" w:hAnsi="Inter" w:cs="Inter"/>
                <w:sz w:val="24"/>
              </w:rPr>
              <w:t>2025/26</w:t>
            </w:r>
          </w:p>
        </w:tc>
        <w:tc>
          <w:tcPr>
            <w:tcW w:w="2137" w:type="dxa"/>
            <w:shd w:val="clear" w:color="auto" w:fill="D1D1D1"/>
            <w:tcMar>
              <w:top w:w="15" w:type="dxa"/>
              <w:left w:w="15" w:type="dxa"/>
              <w:bottom w:w="15" w:type="dxa"/>
              <w:right w:w="15" w:type="dxa"/>
            </w:tcMar>
            <w:vAlign w:val="center"/>
          </w:tcPr>
          <w:p w14:paraId="39B3B682" w14:textId="7B4081B2" w:rsidR="16FD5590" w:rsidRPr="009D7A02" w:rsidRDefault="16FD5590" w:rsidP="16FD5590">
            <w:r w:rsidRPr="009D7A02">
              <w:rPr>
                <w:rFonts w:ascii="Inter" w:eastAsia="Inter" w:hAnsi="Inter" w:cs="Inter"/>
                <w:sz w:val="24"/>
              </w:rPr>
              <w:t>2026/27</w:t>
            </w:r>
          </w:p>
        </w:tc>
        <w:tc>
          <w:tcPr>
            <w:tcW w:w="1511" w:type="dxa"/>
            <w:shd w:val="clear" w:color="auto" w:fill="D1D1D1"/>
            <w:tcMar>
              <w:top w:w="15" w:type="dxa"/>
              <w:left w:w="15" w:type="dxa"/>
              <w:bottom w:w="15" w:type="dxa"/>
              <w:right w:w="15" w:type="dxa"/>
            </w:tcMar>
            <w:vAlign w:val="center"/>
          </w:tcPr>
          <w:p w14:paraId="599FA0CA" w14:textId="6B29B8D5" w:rsidR="16FD5590" w:rsidRPr="009D7A02" w:rsidRDefault="16FD5590" w:rsidP="16FD5590">
            <w:r w:rsidRPr="009D7A02">
              <w:rPr>
                <w:rFonts w:ascii="Inter" w:eastAsia="Inter" w:hAnsi="Inter" w:cs="Inter"/>
                <w:sz w:val="24"/>
              </w:rPr>
              <w:t>2027/28</w:t>
            </w:r>
          </w:p>
        </w:tc>
        <w:tc>
          <w:tcPr>
            <w:tcW w:w="1515" w:type="dxa"/>
            <w:shd w:val="clear" w:color="auto" w:fill="D1D1D1"/>
            <w:tcMar>
              <w:top w:w="15" w:type="dxa"/>
              <w:left w:w="15" w:type="dxa"/>
              <w:bottom w:w="15" w:type="dxa"/>
              <w:right w:w="15" w:type="dxa"/>
            </w:tcMar>
            <w:vAlign w:val="center"/>
          </w:tcPr>
          <w:p w14:paraId="35834190" w14:textId="587648DB" w:rsidR="16FD5590" w:rsidRPr="009D7A02" w:rsidRDefault="16FD5590" w:rsidP="16FD5590">
            <w:r w:rsidRPr="009D7A02">
              <w:rPr>
                <w:rFonts w:ascii="Inter" w:eastAsia="Inter" w:hAnsi="Inter" w:cs="Inter"/>
                <w:sz w:val="24"/>
              </w:rPr>
              <w:t>2028/29</w:t>
            </w:r>
          </w:p>
        </w:tc>
      </w:tr>
      <w:tr w:rsidR="16FD5590" w:rsidRPr="009D7A02" w14:paraId="797C45DD" w14:textId="77777777" w:rsidTr="7DC21327">
        <w:trPr>
          <w:trHeight w:val="300"/>
          <w:jc w:val="center"/>
        </w:trPr>
        <w:tc>
          <w:tcPr>
            <w:tcW w:w="1185" w:type="dxa"/>
            <w:shd w:val="clear" w:color="auto" w:fill="FFFFFF" w:themeFill="background1"/>
            <w:tcMar>
              <w:top w:w="15" w:type="dxa"/>
              <w:left w:w="15" w:type="dxa"/>
              <w:bottom w:w="15" w:type="dxa"/>
              <w:right w:w="15" w:type="dxa"/>
            </w:tcMar>
            <w:vAlign w:val="center"/>
          </w:tcPr>
          <w:p w14:paraId="01A9A1FA" w14:textId="21D55969" w:rsidR="16FD5590" w:rsidRPr="009D7A02" w:rsidRDefault="16FD5590" w:rsidP="16FD5590">
            <w:r w:rsidRPr="009D7A02">
              <w:rPr>
                <w:rFonts w:ascii="Inter" w:eastAsia="Inter" w:hAnsi="Inter" w:cs="Inter"/>
                <w:color w:val="242424"/>
                <w:sz w:val="24"/>
              </w:rPr>
              <w:t>Budget</w:t>
            </w:r>
          </w:p>
        </w:tc>
        <w:tc>
          <w:tcPr>
            <w:tcW w:w="1507" w:type="dxa"/>
            <w:shd w:val="clear" w:color="auto" w:fill="FFFFFF" w:themeFill="background1"/>
            <w:tcMar>
              <w:top w:w="15" w:type="dxa"/>
              <w:left w:w="15" w:type="dxa"/>
              <w:bottom w:w="15" w:type="dxa"/>
              <w:right w:w="15" w:type="dxa"/>
            </w:tcMar>
            <w:vAlign w:val="center"/>
          </w:tcPr>
          <w:p w14:paraId="6BF82C89" w14:textId="64217BF5" w:rsidR="16FD5590" w:rsidRPr="009D7A02" w:rsidRDefault="7C4A0D7F" w:rsidP="16FD5590">
            <w:r w:rsidRPr="7DC21327">
              <w:rPr>
                <w:rFonts w:ascii="Inter" w:eastAsia="Inter" w:hAnsi="Inter" w:cs="Inter"/>
                <w:color w:val="242424"/>
                <w:sz w:val="24"/>
              </w:rPr>
              <w:t>£13</w:t>
            </w:r>
            <w:r w:rsidR="1B4B052B" w:rsidRPr="7DC21327">
              <w:rPr>
                <w:rFonts w:ascii="Inter" w:eastAsia="Inter" w:hAnsi="Inter" w:cs="Inter"/>
                <w:color w:val="242424"/>
                <w:sz w:val="24"/>
              </w:rPr>
              <w:t>.</w:t>
            </w:r>
            <w:r w:rsidRPr="7DC21327">
              <w:rPr>
                <w:rFonts w:ascii="Inter" w:eastAsia="Inter" w:hAnsi="Inter" w:cs="Inter"/>
                <w:color w:val="242424"/>
                <w:sz w:val="24"/>
              </w:rPr>
              <w:t>799m</w:t>
            </w:r>
          </w:p>
        </w:tc>
        <w:tc>
          <w:tcPr>
            <w:tcW w:w="2137" w:type="dxa"/>
            <w:shd w:val="clear" w:color="auto" w:fill="FFFFFF" w:themeFill="background1"/>
            <w:tcMar>
              <w:top w:w="15" w:type="dxa"/>
              <w:left w:w="15" w:type="dxa"/>
              <w:bottom w:w="15" w:type="dxa"/>
              <w:right w:w="15" w:type="dxa"/>
            </w:tcMar>
            <w:vAlign w:val="center"/>
          </w:tcPr>
          <w:p w14:paraId="620F06AC" w14:textId="48FD0CA3" w:rsidR="16FD5590" w:rsidRPr="009D7A02" w:rsidRDefault="7C4A0D7F" w:rsidP="16FD5590">
            <w:r w:rsidRPr="7DC21327">
              <w:rPr>
                <w:rFonts w:ascii="Inter" w:eastAsia="Inter" w:hAnsi="Inter" w:cs="Inter"/>
                <w:color w:val="242424"/>
                <w:sz w:val="24"/>
              </w:rPr>
              <w:t>£14</w:t>
            </w:r>
            <w:r w:rsidR="4C2B042B" w:rsidRPr="7DC21327">
              <w:rPr>
                <w:rFonts w:ascii="Inter" w:eastAsia="Inter" w:hAnsi="Inter" w:cs="Inter"/>
                <w:color w:val="242424"/>
                <w:sz w:val="24"/>
              </w:rPr>
              <w:t>.</w:t>
            </w:r>
            <w:r w:rsidRPr="7DC21327">
              <w:rPr>
                <w:rFonts w:ascii="Inter" w:eastAsia="Inter" w:hAnsi="Inter" w:cs="Inter"/>
                <w:color w:val="242424"/>
                <w:sz w:val="24"/>
              </w:rPr>
              <w:t>834m</w:t>
            </w:r>
          </w:p>
        </w:tc>
        <w:tc>
          <w:tcPr>
            <w:tcW w:w="1511" w:type="dxa"/>
            <w:shd w:val="clear" w:color="auto" w:fill="FFFFFF" w:themeFill="background1"/>
            <w:tcMar>
              <w:top w:w="15" w:type="dxa"/>
              <w:left w:w="15" w:type="dxa"/>
              <w:bottom w:w="15" w:type="dxa"/>
              <w:right w:w="15" w:type="dxa"/>
            </w:tcMar>
            <w:vAlign w:val="center"/>
          </w:tcPr>
          <w:p w14:paraId="55364D01" w14:textId="0127969D" w:rsidR="16FD5590" w:rsidRPr="009D7A02" w:rsidRDefault="7C4A0D7F" w:rsidP="16FD5590">
            <w:r w:rsidRPr="7DC21327">
              <w:rPr>
                <w:rFonts w:ascii="Inter" w:eastAsia="Inter" w:hAnsi="Inter" w:cs="Inter"/>
                <w:color w:val="242424"/>
                <w:sz w:val="24"/>
              </w:rPr>
              <w:t>£15</w:t>
            </w:r>
            <w:r w:rsidR="0C6229AC" w:rsidRPr="7DC21327">
              <w:rPr>
                <w:rFonts w:ascii="Inter" w:eastAsia="Inter" w:hAnsi="Inter" w:cs="Inter"/>
                <w:color w:val="242424"/>
                <w:sz w:val="24"/>
              </w:rPr>
              <w:t>.</w:t>
            </w:r>
            <w:r w:rsidRPr="7DC21327">
              <w:rPr>
                <w:rFonts w:ascii="Inter" w:eastAsia="Inter" w:hAnsi="Inter" w:cs="Inter"/>
                <w:color w:val="242424"/>
                <w:sz w:val="24"/>
              </w:rPr>
              <w:t>500m</w:t>
            </w:r>
          </w:p>
        </w:tc>
        <w:tc>
          <w:tcPr>
            <w:tcW w:w="1515" w:type="dxa"/>
            <w:shd w:val="clear" w:color="auto" w:fill="FFFFFF" w:themeFill="background1"/>
            <w:tcMar>
              <w:top w:w="15" w:type="dxa"/>
              <w:left w:w="15" w:type="dxa"/>
              <w:bottom w:w="15" w:type="dxa"/>
              <w:right w:w="15" w:type="dxa"/>
            </w:tcMar>
            <w:vAlign w:val="center"/>
          </w:tcPr>
          <w:p w14:paraId="7413C42F" w14:textId="35DAA93B" w:rsidR="16FD5590" w:rsidRPr="009D7A02" w:rsidRDefault="7C4A0D7F" w:rsidP="16FD5590">
            <w:r w:rsidRPr="7DC21327">
              <w:rPr>
                <w:rFonts w:ascii="Inter" w:eastAsia="Inter" w:hAnsi="Inter" w:cs="Inter"/>
                <w:color w:val="242424"/>
                <w:sz w:val="24"/>
              </w:rPr>
              <w:t>£16</w:t>
            </w:r>
            <w:r w:rsidR="6C5D6F19" w:rsidRPr="7DC21327">
              <w:rPr>
                <w:rFonts w:ascii="Inter" w:eastAsia="Inter" w:hAnsi="Inter" w:cs="Inter"/>
                <w:color w:val="242424"/>
                <w:sz w:val="24"/>
              </w:rPr>
              <w:t>.</w:t>
            </w:r>
            <w:r w:rsidRPr="7DC21327">
              <w:rPr>
                <w:rFonts w:ascii="Inter" w:eastAsia="Inter" w:hAnsi="Inter" w:cs="Inter"/>
                <w:color w:val="242424"/>
                <w:sz w:val="24"/>
              </w:rPr>
              <w:t>000m</w:t>
            </w:r>
          </w:p>
        </w:tc>
      </w:tr>
      <w:tr w:rsidR="16FD5590" w:rsidRPr="009D7A02" w14:paraId="27B8CCE8" w14:textId="77777777" w:rsidTr="7DC21327">
        <w:trPr>
          <w:trHeight w:val="300"/>
          <w:jc w:val="center"/>
        </w:trPr>
        <w:tc>
          <w:tcPr>
            <w:tcW w:w="1185" w:type="dxa"/>
            <w:shd w:val="clear" w:color="auto" w:fill="FFFFFF" w:themeFill="background1"/>
            <w:tcMar>
              <w:top w:w="15" w:type="dxa"/>
              <w:left w:w="15" w:type="dxa"/>
              <w:bottom w:w="15" w:type="dxa"/>
              <w:right w:w="15" w:type="dxa"/>
            </w:tcMar>
            <w:vAlign w:val="center"/>
          </w:tcPr>
          <w:p w14:paraId="79E65C07" w14:textId="111771CD" w:rsidR="16FD5590" w:rsidRPr="009D7A02" w:rsidRDefault="16FD5590"/>
        </w:tc>
        <w:tc>
          <w:tcPr>
            <w:tcW w:w="1507" w:type="dxa"/>
            <w:shd w:val="clear" w:color="auto" w:fill="FFFFFF" w:themeFill="background1"/>
            <w:tcMar>
              <w:top w:w="15" w:type="dxa"/>
              <w:left w:w="15" w:type="dxa"/>
              <w:bottom w:w="15" w:type="dxa"/>
              <w:right w:w="15" w:type="dxa"/>
            </w:tcMar>
            <w:vAlign w:val="center"/>
          </w:tcPr>
          <w:p w14:paraId="30C874FE" w14:textId="0570092F" w:rsidR="16FD5590" w:rsidRPr="009D7A02" w:rsidRDefault="16FD5590" w:rsidP="16FD5590">
            <w:r w:rsidRPr="009D7A02">
              <w:rPr>
                <w:rFonts w:ascii="Inter" w:eastAsia="Inter" w:hAnsi="Inter" w:cs="Inter"/>
                <w:i/>
                <w:iCs/>
                <w:color w:val="242424"/>
                <w:sz w:val="20"/>
                <w:szCs w:val="20"/>
              </w:rPr>
              <w:t>Agreed</w:t>
            </w:r>
          </w:p>
        </w:tc>
        <w:tc>
          <w:tcPr>
            <w:tcW w:w="2137" w:type="dxa"/>
            <w:shd w:val="clear" w:color="auto" w:fill="FFFFFF" w:themeFill="background1"/>
            <w:tcMar>
              <w:top w:w="15" w:type="dxa"/>
              <w:left w:w="15" w:type="dxa"/>
              <w:bottom w:w="15" w:type="dxa"/>
              <w:right w:w="15" w:type="dxa"/>
            </w:tcMar>
            <w:vAlign w:val="center"/>
          </w:tcPr>
          <w:p w14:paraId="696CF770" w14:textId="429217DB" w:rsidR="16FD5590" w:rsidRPr="009D7A02" w:rsidRDefault="16FD5590" w:rsidP="16FD5590">
            <w:r w:rsidRPr="009D7A02">
              <w:rPr>
                <w:rFonts w:ascii="Inter" w:eastAsia="Inter" w:hAnsi="Inter" w:cs="Inter"/>
                <w:i/>
                <w:iCs/>
                <w:color w:val="242424"/>
                <w:sz w:val="20"/>
                <w:szCs w:val="20"/>
              </w:rPr>
              <w:t>Under negotiation</w:t>
            </w:r>
          </w:p>
        </w:tc>
        <w:tc>
          <w:tcPr>
            <w:tcW w:w="1511" w:type="dxa"/>
            <w:shd w:val="clear" w:color="auto" w:fill="FFFFFF" w:themeFill="background1"/>
            <w:tcMar>
              <w:top w:w="15" w:type="dxa"/>
              <w:left w:w="15" w:type="dxa"/>
              <w:bottom w:w="15" w:type="dxa"/>
              <w:right w:w="15" w:type="dxa"/>
            </w:tcMar>
            <w:vAlign w:val="center"/>
          </w:tcPr>
          <w:p w14:paraId="0D4A48C2" w14:textId="460059D3" w:rsidR="16FD5590" w:rsidRPr="009D7A02" w:rsidRDefault="16FD5590" w:rsidP="16FD5590">
            <w:r w:rsidRPr="009D7A02">
              <w:rPr>
                <w:rFonts w:ascii="Inter" w:eastAsia="Inter" w:hAnsi="Inter" w:cs="Inter"/>
                <w:i/>
                <w:iCs/>
                <w:color w:val="242424"/>
                <w:sz w:val="20"/>
                <w:szCs w:val="20"/>
              </w:rPr>
              <w:t>Forecast</w:t>
            </w:r>
          </w:p>
        </w:tc>
        <w:tc>
          <w:tcPr>
            <w:tcW w:w="1515" w:type="dxa"/>
            <w:shd w:val="clear" w:color="auto" w:fill="FFFFFF" w:themeFill="background1"/>
            <w:tcMar>
              <w:top w:w="15" w:type="dxa"/>
              <w:left w:w="15" w:type="dxa"/>
              <w:bottom w:w="15" w:type="dxa"/>
              <w:right w:w="15" w:type="dxa"/>
            </w:tcMar>
            <w:vAlign w:val="center"/>
          </w:tcPr>
          <w:p w14:paraId="7BF34763" w14:textId="6D01D84F" w:rsidR="16FD5590" w:rsidRPr="009D7A02" w:rsidRDefault="16FD5590" w:rsidP="16FD5590">
            <w:r w:rsidRPr="009D7A02">
              <w:rPr>
                <w:rFonts w:ascii="Inter" w:eastAsia="Inter" w:hAnsi="Inter" w:cs="Inter"/>
                <w:i/>
                <w:iCs/>
                <w:color w:val="242424"/>
                <w:sz w:val="20"/>
                <w:szCs w:val="20"/>
              </w:rPr>
              <w:t>Forecast</w:t>
            </w:r>
          </w:p>
        </w:tc>
      </w:tr>
    </w:tbl>
    <w:p w14:paraId="42DFE486" w14:textId="26662714" w:rsidR="16FD5590" w:rsidRPr="009D7A02" w:rsidRDefault="16FD5590"/>
    <w:p w14:paraId="08D666D9" w14:textId="25DCFD92"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The draft budget for 2026/27 therefore includes an amount £14.834m. This estimation is based on continuation of a like-for-like scheme, as in place across 2025/26. This current estimation includes the continuation of the scheme enhancements currently in place across the Tees Valley region.</w:t>
      </w:r>
    </w:p>
    <w:p w14:paraId="243448C8" w14:textId="77777777" w:rsidR="00D06EAE" w:rsidRPr="009D7A02" w:rsidRDefault="00D06EAE" w:rsidP="00A55302">
      <w:pPr>
        <w:pStyle w:val="ListParagraph"/>
        <w:spacing w:line="276" w:lineRule="auto"/>
        <w:ind w:left="567" w:hanging="567"/>
        <w:rPr>
          <w:rFonts w:ascii="Inter" w:hAnsi="Inter" w:cs="Arial"/>
        </w:rPr>
      </w:pPr>
    </w:p>
    <w:p w14:paraId="04D8F21B" w14:textId="77777777"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Under the role of Local Transport Authority, the Combined Authority is responsible for negotiating the settlements with operators and passporting funding to the local bus operators via funding received from the constituent authorities on an annual basis. The Combined Authority role in this is therefore transactional in enabling the funding to be transferred from the Local Authorities to the bus operators.</w:t>
      </w:r>
    </w:p>
    <w:p w14:paraId="11CCBA4C" w14:textId="77777777" w:rsidR="00D06EAE" w:rsidRPr="009D7A02" w:rsidRDefault="00D06EAE" w:rsidP="00A55302">
      <w:pPr>
        <w:pStyle w:val="ListParagraph"/>
        <w:spacing w:line="276" w:lineRule="auto"/>
        <w:ind w:left="567" w:hanging="567"/>
        <w:rPr>
          <w:rFonts w:ascii="Inter" w:hAnsi="Inter" w:cs="Arial"/>
        </w:rPr>
      </w:pPr>
    </w:p>
    <w:p w14:paraId="7613A9D5" w14:textId="77777777" w:rsidR="00D06EAE"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Concessionary fares, therefore, have a nil impact on the Combined Authority’s budgets as any payments made are recovered from the relevant local authorities who bear the risk of actual expenditure being more than the budgeted amount.  However, this risk is mitigated by collaborative working with the constituent local authorities to ensure that the budgeted amount is robust.</w:t>
      </w:r>
    </w:p>
    <w:p w14:paraId="6CE927EE" w14:textId="77777777" w:rsidR="00F01061" w:rsidRPr="00F01061" w:rsidRDefault="00F01061" w:rsidP="00F01061">
      <w:pPr>
        <w:pStyle w:val="ListParagraph"/>
        <w:rPr>
          <w:rFonts w:ascii="Inter" w:hAnsi="Inter" w:cs="Arial"/>
        </w:rPr>
      </w:pPr>
    </w:p>
    <w:p w14:paraId="54E1939F" w14:textId="196792A9" w:rsidR="00F01061" w:rsidRDefault="00F01061" w:rsidP="2DFE4DF5">
      <w:pPr>
        <w:pStyle w:val="ListParagraph"/>
        <w:numPr>
          <w:ilvl w:val="0"/>
          <w:numId w:val="4"/>
        </w:numPr>
        <w:spacing w:line="276" w:lineRule="auto"/>
        <w:ind w:left="567" w:hanging="567"/>
        <w:rPr>
          <w:rFonts w:ascii="Inter" w:hAnsi="Inter" w:cs="Arial"/>
        </w:rPr>
      </w:pPr>
      <w:r w:rsidRPr="2DFE4DF5">
        <w:rPr>
          <w:rFonts w:ascii="Inter" w:hAnsi="Inter" w:cs="Arial"/>
        </w:rPr>
        <w:t xml:space="preserve">The Table below presents the </w:t>
      </w:r>
      <w:r w:rsidR="003D1473" w:rsidRPr="2DFE4DF5">
        <w:rPr>
          <w:rFonts w:ascii="Inter" w:hAnsi="Inter" w:cs="Arial"/>
        </w:rPr>
        <w:t>Medium-Term</w:t>
      </w:r>
      <w:r w:rsidRPr="2DFE4DF5">
        <w:rPr>
          <w:rFonts w:ascii="Inter" w:hAnsi="Inter" w:cs="Arial"/>
        </w:rPr>
        <w:t xml:space="preserve"> Financial </w:t>
      </w:r>
      <w:r w:rsidR="00486F7D" w:rsidRPr="2DFE4DF5">
        <w:rPr>
          <w:rFonts w:ascii="Inter" w:hAnsi="Inter" w:cs="Arial"/>
        </w:rPr>
        <w:t>Plan by the CIPFA subjective analysis</w:t>
      </w:r>
      <w:r w:rsidR="00810C23" w:rsidRPr="2DFE4DF5">
        <w:rPr>
          <w:rFonts w:ascii="Inter" w:hAnsi="Inter" w:cs="Arial"/>
        </w:rPr>
        <w:t xml:space="preserve">, </w:t>
      </w:r>
      <w:r w:rsidR="005C346C" w:rsidRPr="2DFE4DF5">
        <w:rPr>
          <w:rFonts w:ascii="Inter" w:hAnsi="Inter" w:cs="Arial"/>
        </w:rPr>
        <w:t>showing the Income and Expenditure of the Authority.</w:t>
      </w:r>
    </w:p>
    <w:p w14:paraId="451CBBF9" w14:textId="77777777" w:rsidR="00184AC7" w:rsidRPr="00184AC7" w:rsidRDefault="00184AC7" w:rsidP="00184AC7">
      <w:pPr>
        <w:pStyle w:val="ListParagraph"/>
        <w:rPr>
          <w:rFonts w:ascii="Inter" w:hAnsi="Inter" w:cs="Arial"/>
        </w:rPr>
      </w:pPr>
    </w:p>
    <w:p w14:paraId="6BF120C9" w14:textId="77777777" w:rsidR="00A85DA0" w:rsidRDefault="00A85DA0">
      <w:pPr>
        <w:rPr>
          <w:rFonts w:ascii="Inter" w:hAnsi="Inter" w:cs="Arial"/>
          <w:b/>
          <w:bCs/>
        </w:rPr>
      </w:pPr>
      <w:r>
        <w:rPr>
          <w:rFonts w:ascii="Inter" w:hAnsi="Inter" w:cs="Arial"/>
          <w:b/>
          <w:bCs/>
        </w:rPr>
        <w:br w:type="page"/>
      </w:r>
    </w:p>
    <w:p w14:paraId="0465F294" w14:textId="083ECAA7" w:rsidR="00A60F4C" w:rsidRDefault="00A60F4C" w:rsidP="00A60F4C">
      <w:pPr>
        <w:pStyle w:val="ListParagraph"/>
        <w:spacing w:line="276" w:lineRule="auto"/>
        <w:ind w:left="360"/>
        <w:jc w:val="center"/>
        <w:rPr>
          <w:rFonts w:ascii="Inter" w:hAnsi="Inter" w:cs="Arial"/>
          <w:b/>
          <w:bCs/>
        </w:rPr>
      </w:pPr>
      <w:r w:rsidRPr="009D7A02">
        <w:rPr>
          <w:rFonts w:ascii="Inter" w:hAnsi="Inter" w:cs="Arial"/>
          <w:b/>
          <w:bCs/>
        </w:rPr>
        <w:lastRenderedPageBreak/>
        <w:t xml:space="preserve">Table </w:t>
      </w:r>
      <w:r w:rsidR="00E179BC">
        <w:rPr>
          <w:rFonts w:ascii="Inter" w:hAnsi="Inter" w:cs="Arial"/>
          <w:b/>
          <w:bCs/>
        </w:rPr>
        <w:t>4</w:t>
      </w:r>
      <w:r w:rsidRPr="009D7A02">
        <w:rPr>
          <w:rFonts w:ascii="Inter" w:hAnsi="Inter" w:cs="Arial"/>
          <w:b/>
          <w:bCs/>
        </w:rPr>
        <w:t xml:space="preserve"> - TVCA MTFP 2026/27 to 2029/30</w:t>
      </w:r>
      <w:r>
        <w:rPr>
          <w:rFonts w:ascii="Inter" w:hAnsi="Inter" w:cs="Arial"/>
          <w:b/>
          <w:bCs/>
        </w:rPr>
        <w:t xml:space="preserve"> – </w:t>
      </w:r>
      <w:r w:rsidRPr="3FC8AECE">
        <w:rPr>
          <w:rFonts w:ascii="Inter" w:hAnsi="Inter" w:cs="Arial"/>
          <w:b/>
          <w:bCs/>
        </w:rPr>
        <w:t xml:space="preserve">CIPFA </w:t>
      </w:r>
      <w:r>
        <w:rPr>
          <w:rFonts w:ascii="Inter" w:hAnsi="Inter" w:cs="Arial"/>
          <w:b/>
          <w:bCs/>
        </w:rPr>
        <w:t xml:space="preserve">Subjective Analysis </w:t>
      </w:r>
    </w:p>
    <w:p w14:paraId="5617DA9A" w14:textId="77777777" w:rsidR="00A60F4C" w:rsidRDefault="00A60F4C" w:rsidP="00A60F4C">
      <w:pPr>
        <w:pStyle w:val="ListParagraph"/>
        <w:spacing w:line="276" w:lineRule="auto"/>
        <w:ind w:left="360"/>
        <w:jc w:val="center"/>
        <w:rPr>
          <w:rFonts w:ascii="Inter" w:hAnsi="Inter" w:cs="Arial"/>
          <w:b/>
          <w:bCs/>
        </w:rPr>
      </w:pPr>
      <w:r w:rsidRPr="3FC8AECE">
        <w:rPr>
          <w:rFonts w:ascii="Inter" w:hAnsi="Inter" w:cs="Arial"/>
          <w:b/>
          <w:bCs/>
        </w:rPr>
        <w:t xml:space="preserve">(By type expenditure /income) </w:t>
      </w:r>
    </w:p>
    <w:p w14:paraId="0AB53FA0" w14:textId="77777777" w:rsidR="00CE14FB" w:rsidRDefault="00CE14FB" w:rsidP="00A60F4C">
      <w:pPr>
        <w:pStyle w:val="ListParagraph"/>
        <w:spacing w:line="276" w:lineRule="auto"/>
        <w:ind w:left="360"/>
        <w:jc w:val="center"/>
        <w:rPr>
          <w:rFonts w:ascii="Inter" w:hAnsi="Inter" w:cs="Arial"/>
          <w:b/>
          <w:bCs/>
        </w:rPr>
      </w:pPr>
    </w:p>
    <w:tbl>
      <w:tblPr>
        <w:tblW w:w="9552" w:type="dxa"/>
        <w:tblLook w:val="04A0" w:firstRow="1" w:lastRow="0" w:firstColumn="1" w:lastColumn="0" w:noHBand="0" w:noVBand="1"/>
      </w:tblPr>
      <w:tblGrid>
        <w:gridCol w:w="1260"/>
        <w:gridCol w:w="3047"/>
        <w:gridCol w:w="1276"/>
        <w:gridCol w:w="1320"/>
        <w:gridCol w:w="1314"/>
        <w:gridCol w:w="1335"/>
      </w:tblGrid>
      <w:tr w:rsidR="00CE14FB" w:rsidRPr="00181FC3" w14:paraId="1D74C07C" w14:textId="77777777" w:rsidTr="7DC21327">
        <w:trPr>
          <w:trHeight w:val="530"/>
        </w:trPr>
        <w:tc>
          <w:tcPr>
            <w:tcW w:w="1260" w:type="dxa"/>
            <w:tcBorders>
              <w:top w:val="single" w:sz="12" w:space="0" w:color="auto"/>
              <w:left w:val="single" w:sz="12" w:space="0" w:color="auto"/>
              <w:bottom w:val="nil"/>
              <w:right w:val="single" w:sz="4" w:space="0" w:color="auto"/>
            </w:tcBorders>
            <w:shd w:val="clear" w:color="auto" w:fill="E8E8E8"/>
            <w:hideMark/>
          </w:tcPr>
          <w:p w14:paraId="2A19B66F"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Budget 2025/26</w:t>
            </w:r>
          </w:p>
        </w:tc>
        <w:tc>
          <w:tcPr>
            <w:tcW w:w="3047" w:type="dxa"/>
            <w:tcBorders>
              <w:top w:val="single" w:sz="12" w:space="0" w:color="auto"/>
              <w:left w:val="single" w:sz="12" w:space="0" w:color="auto"/>
              <w:bottom w:val="nil"/>
              <w:right w:val="single" w:sz="12" w:space="0" w:color="auto"/>
            </w:tcBorders>
            <w:shd w:val="clear" w:color="auto" w:fill="E8E8E8"/>
            <w:noWrap/>
            <w:vAlign w:val="bottom"/>
            <w:hideMark/>
          </w:tcPr>
          <w:p w14:paraId="37788E7A" w14:textId="77777777" w:rsidR="00181FC3" w:rsidRPr="00181FC3" w:rsidRDefault="00181FC3" w:rsidP="00181FC3">
            <w:pP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TVCA</w:t>
            </w:r>
          </w:p>
        </w:tc>
        <w:tc>
          <w:tcPr>
            <w:tcW w:w="1276" w:type="dxa"/>
            <w:tcBorders>
              <w:top w:val="single" w:sz="12" w:space="0" w:color="auto"/>
              <w:left w:val="nil"/>
              <w:bottom w:val="nil"/>
              <w:right w:val="single" w:sz="12" w:space="0" w:color="auto"/>
            </w:tcBorders>
            <w:shd w:val="clear" w:color="auto" w:fill="E8E8E8"/>
            <w:hideMark/>
          </w:tcPr>
          <w:p w14:paraId="26FEA31B"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Budget 2026/27</w:t>
            </w:r>
          </w:p>
        </w:tc>
        <w:tc>
          <w:tcPr>
            <w:tcW w:w="1320" w:type="dxa"/>
            <w:tcBorders>
              <w:top w:val="single" w:sz="12" w:space="0" w:color="auto"/>
              <w:left w:val="nil"/>
              <w:bottom w:val="nil"/>
              <w:right w:val="single" w:sz="12" w:space="0" w:color="auto"/>
            </w:tcBorders>
            <w:shd w:val="clear" w:color="auto" w:fill="E8E8E8"/>
            <w:hideMark/>
          </w:tcPr>
          <w:p w14:paraId="11C412E9"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Budget 2027/28</w:t>
            </w:r>
          </w:p>
        </w:tc>
        <w:tc>
          <w:tcPr>
            <w:tcW w:w="1314" w:type="dxa"/>
            <w:tcBorders>
              <w:top w:val="single" w:sz="12" w:space="0" w:color="auto"/>
              <w:left w:val="nil"/>
              <w:bottom w:val="nil"/>
              <w:right w:val="single" w:sz="12" w:space="0" w:color="auto"/>
            </w:tcBorders>
            <w:shd w:val="clear" w:color="auto" w:fill="E8E8E8"/>
            <w:hideMark/>
          </w:tcPr>
          <w:p w14:paraId="2A162ECA"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Budget 2028/29</w:t>
            </w:r>
          </w:p>
        </w:tc>
        <w:tc>
          <w:tcPr>
            <w:tcW w:w="1335" w:type="dxa"/>
            <w:tcBorders>
              <w:top w:val="single" w:sz="12" w:space="0" w:color="auto"/>
              <w:left w:val="nil"/>
              <w:bottom w:val="nil"/>
              <w:right w:val="single" w:sz="12" w:space="0" w:color="auto"/>
            </w:tcBorders>
            <w:shd w:val="clear" w:color="auto" w:fill="E8E8E8"/>
            <w:hideMark/>
          </w:tcPr>
          <w:p w14:paraId="300DD36D"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Budget 2029/30</w:t>
            </w:r>
          </w:p>
        </w:tc>
      </w:tr>
      <w:tr w:rsidR="00CE14FB" w:rsidRPr="00181FC3" w14:paraId="11C16A21" w14:textId="77777777" w:rsidTr="7DC21327">
        <w:trPr>
          <w:trHeight w:val="270"/>
        </w:trPr>
        <w:tc>
          <w:tcPr>
            <w:tcW w:w="1260" w:type="dxa"/>
            <w:tcBorders>
              <w:top w:val="nil"/>
              <w:left w:val="single" w:sz="12" w:space="0" w:color="auto"/>
              <w:bottom w:val="single" w:sz="12" w:space="0" w:color="auto"/>
              <w:right w:val="single" w:sz="4" w:space="0" w:color="auto"/>
            </w:tcBorders>
            <w:shd w:val="clear" w:color="auto" w:fill="E8E8E8"/>
            <w:noWrap/>
            <w:vAlign w:val="bottom"/>
            <w:hideMark/>
          </w:tcPr>
          <w:p w14:paraId="23091E41"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£'000</w:t>
            </w:r>
          </w:p>
        </w:tc>
        <w:tc>
          <w:tcPr>
            <w:tcW w:w="3047" w:type="dxa"/>
            <w:tcBorders>
              <w:top w:val="nil"/>
              <w:left w:val="single" w:sz="12" w:space="0" w:color="auto"/>
              <w:bottom w:val="single" w:sz="12" w:space="0" w:color="auto"/>
              <w:right w:val="single" w:sz="12" w:space="0" w:color="auto"/>
            </w:tcBorders>
            <w:shd w:val="clear" w:color="auto" w:fill="E8E8E8"/>
            <w:noWrap/>
            <w:vAlign w:val="bottom"/>
            <w:hideMark/>
          </w:tcPr>
          <w:p w14:paraId="2FDA68D9" w14:textId="77777777" w:rsidR="00181FC3" w:rsidRPr="00181FC3" w:rsidRDefault="00181FC3" w:rsidP="00181FC3">
            <w:pP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 xml:space="preserve">Type of Expenditure / Income </w:t>
            </w:r>
          </w:p>
        </w:tc>
        <w:tc>
          <w:tcPr>
            <w:tcW w:w="1276" w:type="dxa"/>
            <w:tcBorders>
              <w:top w:val="nil"/>
              <w:left w:val="nil"/>
              <w:bottom w:val="single" w:sz="12" w:space="0" w:color="auto"/>
              <w:right w:val="single" w:sz="12" w:space="0" w:color="auto"/>
            </w:tcBorders>
            <w:shd w:val="clear" w:color="auto" w:fill="E8E8E8"/>
            <w:noWrap/>
            <w:vAlign w:val="bottom"/>
            <w:hideMark/>
          </w:tcPr>
          <w:p w14:paraId="68F52060"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£'000</w:t>
            </w:r>
          </w:p>
        </w:tc>
        <w:tc>
          <w:tcPr>
            <w:tcW w:w="1320" w:type="dxa"/>
            <w:tcBorders>
              <w:top w:val="nil"/>
              <w:left w:val="nil"/>
              <w:bottom w:val="single" w:sz="12" w:space="0" w:color="auto"/>
              <w:right w:val="single" w:sz="12" w:space="0" w:color="auto"/>
            </w:tcBorders>
            <w:shd w:val="clear" w:color="auto" w:fill="E8E8E8"/>
            <w:noWrap/>
            <w:vAlign w:val="bottom"/>
            <w:hideMark/>
          </w:tcPr>
          <w:p w14:paraId="1EE7F106"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£'000</w:t>
            </w:r>
          </w:p>
        </w:tc>
        <w:tc>
          <w:tcPr>
            <w:tcW w:w="1314" w:type="dxa"/>
            <w:tcBorders>
              <w:top w:val="nil"/>
              <w:left w:val="nil"/>
              <w:bottom w:val="single" w:sz="12" w:space="0" w:color="auto"/>
              <w:right w:val="single" w:sz="12" w:space="0" w:color="auto"/>
            </w:tcBorders>
            <w:shd w:val="clear" w:color="auto" w:fill="E8E8E8"/>
            <w:noWrap/>
            <w:vAlign w:val="bottom"/>
            <w:hideMark/>
          </w:tcPr>
          <w:p w14:paraId="4316271B"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£'000</w:t>
            </w:r>
          </w:p>
        </w:tc>
        <w:tc>
          <w:tcPr>
            <w:tcW w:w="1335" w:type="dxa"/>
            <w:tcBorders>
              <w:top w:val="nil"/>
              <w:left w:val="nil"/>
              <w:bottom w:val="single" w:sz="12" w:space="0" w:color="auto"/>
              <w:right w:val="single" w:sz="12" w:space="0" w:color="auto"/>
            </w:tcBorders>
            <w:shd w:val="clear" w:color="auto" w:fill="E8E8E8"/>
            <w:noWrap/>
            <w:vAlign w:val="bottom"/>
            <w:hideMark/>
          </w:tcPr>
          <w:p w14:paraId="43E70BED" w14:textId="77777777" w:rsidR="00181FC3" w:rsidRPr="00181FC3" w:rsidRDefault="00181FC3" w:rsidP="00181FC3">
            <w:pPr>
              <w:jc w:val="cente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£'000</w:t>
            </w:r>
          </w:p>
        </w:tc>
      </w:tr>
      <w:tr w:rsidR="00750906" w:rsidRPr="00181FC3" w14:paraId="7D41BF8E" w14:textId="77777777">
        <w:trPr>
          <w:trHeight w:val="300"/>
        </w:trPr>
        <w:tc>
          <w:tcPr>
            <w:tcW w:w="1260" w:type="dxa"/>
            <w:tcBorders>
              <w:top w:val="single" w:sz="4" w:space="0" w:color="auto"/>
              <w:left w:val="single" w:sz="12" w:space="0" w:color="auto"/>
              <w:bottom w:val="single" w:sz="4" w:space="0" w:color="auto"/>
              <w:right w:val="single" w:sz="4" w:space="0" w:color="auto"/>
            </w:tcBorders>
            <w:noWrap/>
            <w:vAlign w:val="bottom"/>
            <w:hideMark/>
          </w:tcPr>
          <w:p w14:paraId="44111E19" w14:textId="59F00CB4"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13,515</w:t>
            </w:r>
          </w:p>
        </w:tc>
        <w:tc>
          <w:tcPr>
            <w:tcW w:w="3047"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5FBC8211" w14:textId="77777777"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Employees</w:t>
            </w:r>
          </w:p>
        </w:tc>
        <w:tc>
          <w:tcPr>
            <w:tcW w:w="1276" w:type="dxa"/>
            <w:tcBorders>
              <w:top w:val="single" w:sz="4" w:space="0" w:color="auto"/>
              <w:left w:val="nil"/>
              <w:bottom w:val="single" w:sz="4" w:space="0" w:color="auto"/>
              <w:right w:val="single" w:sz="4" w:space="0" w:color="auto"/>
            </w:tcBorders>
            <w:noWrap/>
            <w:vAlign w:val="center"/>
            <w:hideMark/>
          </w:tcPr>
          <w:p w14:paraId="5DD6AFF9" w14:textId="5D4410A2"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15,059</w:t>
            </w:r>
          </w:p>
        </w:tc>
        <w:tc>
          <w:tcPr>
            <w:tcW w:w="1320" w:type="dxa"/>
            <w:tcBorders>
              <w:top w:val="single" w:sz="4" w:space="0" w:color="auto"/>
              <w:left w:val="single" w:sz="12" w:space="0" w:color="auto"/>
              <w:bottom w:val="single" w:sz="4" w:space="0" w:color="auto"/>
              <w:right w:val="single" w:sz="4" w:space="0" w:color="auto"/>
            </w:tcBorders>
            <w:noWrap/>
            <w:vAlign w:val="center"/>
            <w:hideMark/>
          </w:tcPr>
          <w:p w14:paraId="1029CF95" w14:textId="01C0DA0D"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14,623</w:t>
            </w:r>
          </w:p>
        </w:tc>
        <w:tc>
          <w:tcPr>
            <w:tcW w:w="1314" w:type="dxa"/>
            <w:tcBorders>
              <w:top w:val="single" w:sz="4" w:space="0" w:color="auto"/>
              <w:left w:val="single" w:sz="12" w:space="0" w:color="auto"/>
              <w:bottom w:val="single" w:sz="4" w:space="0" w:color="auto"/>
              <w:right w:val="single" w:sz="4" w:space="0" w:color="auto"/>
            </w:tcBorders>
            <w:noWrap/>
            <w:vAlign w:val="center"/>
            <w:hideMark/>
          </w:tcPr>
          <w:p w14:paraId="2F0D3EBA" w14:textId="0CDC23DF"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14,966</w:t>
            </w:r>
          </w:p>
        </w:tc>
        <w:tc>
          <w:tcPr>
            <w:tcW w:w="1335" w:type="dxa"/>
            <w:tcBorders>
              <w:top w:val="single" w:sz="4" w:space="0" w:color="auto"/>
              <w:left w:val="single" w:sz="12" w:space="0" w:color="auto"/>
              <w:bottom w:val="single" w:sz="4" w:space="0" w:color="auto"/>
              <w:right w:val="single" w:sz="12" w:space="0" w:color="auto"/>
            </w:tcBorders>
            <w:noWrap/>
            <w:vAlign w:val="center"/>
            <w:hideMark/>
          </w:tcPr>
          <w:p w14:paraId="2A2C36DF" w14:textId="64E3E278"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15,320</w:t>
            </w:r>
          </w:p>
        </w:tc>
      </w:tr>
      <w:tr w:rsidR="00750906" w:rsidRPr="00181FC3" w14:paraId="0180CBD3" w14:textId="77777777">
        <w:trPr>
          <w:trHeight w:val="300"/>
        </w:trPr>
        <w:tc>
          <w:tcPr>
            <w:tcW w:w="1260" w:type="dxa"/>
            <w:tcBorders>
              <w:top w:val="nil"/>
              <w:left w:val="single" w:sz="12" w:space="0" w:color="auto"/>
              <w:bottom w:val="single" w:sz="4" w:space="0" w:color="auto"/>
              <w:right w:val="single" w:sz="4" w:space="0" w:color="auto"/>
            </w:tcBorders>
            <w:noWrap/>
            <w:vAlign w:val="bottom"/>
            <w:hideMark/>
          </w:tcPr>
          <w:p w14:paraId="5E5EB3C7" w14:textId="6388DEBA"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610</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7223C99C" w14:textId="77777777"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Premises</w:t>
            </w:r>
          </w:p>
        </w:tc>
        <w:tc>
          <w:tcPr>
            <w:tcW w:w="1276" w:type="dxa"/>
            <w:tcBorders>
              <w:top w:val="nil"/>
              <w:left w:val="nil"/>
              <w:bottom w:val="single" w:sz="4" w:space="0" w:color="auto"/>
              <w:right w:val="single" w:sz="4" w:space="0" w:color="auto"/>
            </w:tcBorders>
            <w:noWrap/>
            <w:vAlign w:val="center"/>
            <w:hideMark/>
          </w:tcPr>
          <w:p w14:paraId="61FA4A39" w14:textId="5CE52F51"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4,480</w:t>
            </w:r>
          </w:p>
        </w:tc>
        <w:tc>
          <w:tcPr>
            <w:tcW w:w="1320" w:type="dxa"/>
            <w:tcBorders>
              <w:top w:val="nil"/>
              <w:left w:val="single" w:sz="12" w:space="0" w:color="auto"/>
              <w:bottom w:val="single" w:sz="4" w:space="0" w:color="auto"/>
              <w:right w:val="single" w:sz="4" w:space="0" w:color="auto"/>
            </w:tcBorders>
            <w:noWrap/>
            <w:vAlign w:val="center"/>
            <w:hideMark/>
          </w:tcPr>
          <w:p w14:paraId="59FE63EB" w14:textId="189E6E01"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4,480</w:t>
            </w:r>
          </w:p>
        </w:tc>
        <w:tc>
          <w:tcPr>
            <w:tcW w:w="1314" w:type="dxa"/>
            <w:tcBorders>
              <w:top w:val="nil"/>
              <w:left w:val="single" w:sz="12" w:space="0" w:color="auto"/>
              <w:bottom w:val="single" w:sz="4" w:space="0" w:color="auto"/>
              <w:right w:val="single" w:sz="4" w:space="0" w:color="auto"/>
            </w:tcBorders>
            <w:noWrap/>
            <w:vAlign w:val="center"/>
            <w:hideMark/>
          </w:tcPr>
          <w:p w14:paraId="0F4C07D7" w14:textId="66307946"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4,480</w:t>
            </w:r>
          </w:p>
        </w:tc>
        <w:tc>
          <w:tcPr>
            <w:tcW w:w="1335" w:type="dxa"/>
            <w:tcBorders>
              <w:top w:val="nil"/>
              <w:left w:val="single" w:sz="12" w:space="0" w:color="auto"/>
              <w:bottom w:val="single" w:sz="4" w:space="0" w:color="auto"/>
              <w:right w:val="single" w:sz="12" w:space="0" w:color="auto"/>
            </w:tcBorders>
            <w:noWrap/>
            <w:vAlign w:val="center"/>
            <w:hideMark/>
          </w:tcPr>
          <w:p w14:paraId="72D571EF" w14:textId="66E0ECD1"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4,480</w:t>
            </w:r>
          </w:p>
        </w:tc>
      </w:tr>
      <w:tr w:rsidR="00750906" w:rsidRPr="00181FC3" w14:paraId="16C62020" w14:textId="77777777">
        <w:trPr>
          <w:trHeight w:val="300"/>
        </w:trPr>
        <w:tc>
          <w:tcPr>
            <w:tcW w:w="1260" w:type="dxa"/>
            <w:tcBorders>
              <w:top w:val="nil"/>
              <w:left w:val="single" w:sz="12" w:space="0" w:color="auto"/>
              <w:bottom w:val="single" w:sz="4" w:space="0" w:color="auto"/>
              <w:right w:val="single" w:sz="4" w:space="0" w:color="auto"/>
            </w:tcBorders>
            <w:noWrap/>
            <w:vAlign w:val="bottom"/>
            <w:hideMark/>
          </w:tcPr>
          <w:p w14:paraId="451803A4" w14:textId="347EECAC"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45</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455087F1" w14:textId="77777777"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Transport</w:t>
            </w:r>
          </w:p>
        </w:tc>
        <w:tc>
          <w:tcPr>
            <w:tcW w:w="1276" w:type="dxa"/>
            <w:tcBorders>
              <w:top w:val="nil"/>
              <w:left w:val="nil"/>
              <w:bottom w:val="single" w:sz="4" w:space="0" w:color="auto"/>
              <w:right w:val="single" w:sz="4" w:space="0" w:color="auto"/>
            </w:tcBorders>
            <w:noWrap/>
            <w:vAlign w:val="center"/>
            <w:hideMark/>
          </w:tcPr>
          <w:p w14:paraId="3D7BF3EE" w14:textId="426B81F2"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56</w:t>
            </w:r>
          </w:p>
        </w:tc>
        <w:tc>
          <w:tcPr>
            <w:tcW w:w="1320" w:type="dxa"/>
            <w:tcBorders>
              <w:top w:val="nil"/>
              <w:left w:val="single" w:sz="12" w:space="0" w:color="auto"/>
              <w:bottom w:val="single" w:sz="4" w:space="0" w:color="auto"/>
              <w:right w:val="single" w:sz="4" w:space="0" w:color="auto"/>
            </w:tcBorders>
            <w:noWrap/>
            <w:vAlign w:val="center"/>
            <w:hideMark/>
          </w:tcPr>
          <w:p w14:paraId="5749C0F5" w14:textId="51207C82"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56</w:t>
            </w:r>
          </w:p>
        </w:tc>
        <w:tc>
          <w:tcPr>
            <w:tcW w:w="1314" w:type="dxa"/>
            <w:tcBorders>
              <w:top w:val="nil"/>
              <w:left w:val="single" w:sz="12" w:space="0" w:color="auto"/>
              <w:bottom w:val="single" w:sz="4" w:space="0" w:color="auto"/>
              <w:right w:val="single" w:sz="4" w:space="0" w:color="auto"/>
            </w:tcBorders>
            <w:noWrap/>
            <w:vAlign w:val="center"/>
            <w:hideMark/>
          </w:tcPr>
          <w:p w14:paraId="437C6C7E" w14:textId="6C5E00DE"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56</w:t>
            </w:r>
          </w:p>
        </w:tc>
        <w:tc>
          <w:tcPr>
            <w:tcW w:w="1335" w:type="dxa"/>
            <w:tcBorders>
              <w:top w:val="nil"/>
              <w:left w:val="single" w:sz="12" w:space="0" w:color="auto"/>
              <w:bottom w:val="single" w:sz="4" w:space="0" w:color="auto"/>
              <w:right w:val="single" w:sz="12" w:space="0" w:color="auto"/>
            </w:tcBorders>
            <w:noWrap/>
            <w:vAlign w:val="center"/>
            <w:hideMark/>
          </w:tcPr>
          <w:p w14:paraId="175AF06C" w14:textId="4DAB0796"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56</w:t>
            </w:r>
          </w:p>
        </w:tc>
      </w:tr>
      <w:tr w:rsidR="00750906" w:rsidRPr="00181FC3" w14:paraId="54EBC992" w14:textId="77777777">
        <w:trPr>
          <w:trHeight w:val="300"/>
        </w:trPr>
        <w:tc>
          <w:tcPr>
            <w:tcW w:w="1260" w:type="dxa"/>
            <w:tcBorders>
              <w:top w:val="nil"/>
              <w:left w:val="single" w:sz="12" w:space="0" w:color="auto"/>
              <w:bottom w:val="single" w:sz="4" w:space="0" w:color="auto"/>
              <w:right w:val="single" w:sz="4" w:space="0" w:color="auto"/>
            </w:tcBorders>
            <w:noWrap/>
            <w:vAlign w:val="bottom"/>
            <w:hideMark/>
          </w:tcPr>
          <w:p w14:paraId="49CB2AA4" w14:textId="16DDF2E3"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128,136</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122FA634" w14:textId="77777777"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Supplies and Services</w:t>
            </w:r>
          </w:p>
        </w:tc>
        <w:tc>
          <w:tcPr>
            <w:tcW w:w="1276" w:type="dxa"/>
            <w:tcBorders>
              <w:top w:val="nil"/>
              <w:left w:val="nil"/>
              <w:bottom w:val="single" w:sz="4" w:space="0" w:color="auto"/>
              <w:right w:val="single" w:sz="4" w:space="0" w:color="auto"/>
            </w:tcBorders>
            <w:noWrap/>
            <w:vAlign w:val="center"/>
            <w:hideMark/>
          </w:tcPr>
          <w:p w14:paraId="4907DD73" w14:textId="297473E6"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103,058</w:t>
            </w:r>
          </w:p>
        </w:tc>
        <w:tc>
          <w:tcPr>
            <w:tcW w:w="1320" w:type="dxa"/>
            <w:tcBorders>
              <w:top w:val="nil"/>
              <w:left w:val="single" w:sz="12" w:space="0" w:color="auto"/>
              <w:bottom w:val="single" w:sz="4" w:space="0" w:color="auto"/>
              <w:right w:val="single" w:sz="4" w:space="0" w:color="auto"/>
            </w:tcBorders>
            <w:noWrap/>
            <w:vAlign w:val="center"/>
            <w:hideMark/>
          </w:tcPr>
          <w:p w14:paraId="4DC76655" w14:textId="0C474403"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102,937</w:t>
            </w:r>
          </w:p>
        </w:tc>
        <w:tc>
          <w:tcPr>
            <w:tcW w:w="1314" w:type="dxa"/>
            <w:tcBorders>
              <w:top w:val="nil"/>
              <w:left w:val="single" w:sz="12" w:space="0" w:color="auto"/>
              <w:bottom w:val="single" w:sz="4" w:space="0" w:color="auto"/>
              <w:right w:val="single" w:sz="4" w:space="0" w:color="auto"/>
            </w:tcBorders>
            <w:noWrap/>
            <w:vAlign w:val="center"/>
            <w:hideMark/>
          </w:tcPr>
          <w:p w14:paraId="75ADB7BF" w14:textId="00FD3263"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103,292</w:t>
            </w:r>
          </w:p>
        </w:tc>
        <w:tc>
          <w:tcPr>
            <w:tcW w:w="1335" w:type="dxa"/>
            <w:tcBorders>
              <w:top w:val="nil"/>
              <w:left w:val="single" w:sz="12" w:space="0" w:color="auto"/>
              <w:bottom w:val="single" w:sz="4" w:space="0" w:color="auto"/>
              <w:right w:val="single" w:sz="12" w:space="0" w:color="auto"/>
            </w:tcBorders>
            <w:noWrap/>
            <w:vAlign w:val="center"/>
            <w:hideMark/>
          </w:tcPr>
          <w:p w14:paraId="246F17AB" w14:textId="41103FC4"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103,661</w:t>
            </w:r>
          </w:p>
        </w:tc>
      </w:tr>
      <w:tr w:rsidR="00750906" w:rsidRPr="00181FC3" w14:paraId="6E52BAA4" w14:textId="77777777">
        <w:trPr>
          <w:trHeight w:val="293"/>
        </w:trPr>
        <w:tc>
          <w:tcPr>
            <w:tcW w:w="1260" w:type="dxa"/>
            <w:tcBorders>
              <w:top w:val="nil"/>
              <w:left w:val="single" w:sz="12" w:space="0" w:color="auto"/>
              <w:bottom w:val="single" w:sz="4" w:space="0" w:color="auto"/>
              <w:right w:val="single" w:sz="4" w:space="0" w:color="auto"/>
            </w:tcBorders>
            <w:noWrap/>
            <w:vAlign w:val="bottom"/>
            <w:hideMark/>
          </w:tcPr>
          <w:p w14:paraId="74A0C6B2" w14:textId="4FAAC2B3"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172</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56F380A4" w14:textId="77777777"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Third Party Payments</w:t>
            </w:r>
          </w:p>
        </w:tc>
        <w:tc>
          <w:tcPr>
            <w:tcW w:w="1276" w:type="dxa"/>
            <w:tcBorders>
              <w:top w:val="nil"/>
              <w:left w:val="nil"/>
              <w:bottom w:val="single" w:sz="4" w:space="0" w:color="auto"/>
              <w:right w:val="single" w:sz="4" w:space="0" w:color="auto"/>
            </w:tcBorders>
            <w:noWrap/>
            <w:vAlign w:val="center"/>
            <w:hideMark/>
          </w:tcPr>
          <w:p w14:paraId="569AF5A9" w14:textId="1960DDA5"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w:t>
            </w:r>
          </w:p>
        </w:tc>
        <w:tc>
          <w:tcPr>
            <w:tcW w:w="1320" w:type="dxa"/>
            <w:tcBorders>
              <w:top w:val="nil"/>
              <w:left w:val="single" w:sz="12" w:space="0" w:color="auto"/>
              <w:bottom w:val="single" w:sz="4" w:space="0" w:color="auto"/>
              <w:right w:val="single" w:sz="4" w:space="0" w:color="auto"/>
            </w:tcBorders>
            <w:noWrap/>
            <w:vAlign w:val="center"/>
            <w:hideMark/>
          </w:tcPr>
          <w:p w14:paraId="11CF2552" w14:textId="7896778D"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w:t>
            </w:r>
          </w:p>
        </w:tc>
        <w:tc>
          <w:tcPr>
            <w:tcW w:w="1314" w:type="dxa"/>
            <w:tcBorders>
              <w:top w:val="nil"/>
              <w:left w:val="single" w:sz="12" w:space="0" w:color="auto"/>
              <w:bottom w:val="single" w:sz="4" w:space="0" w:color="auto"/>
              <w:right w:val="single" w:sz="4" w:space="0" w:color="auto"/>
            </w:tcBorders>
            <w:noWrap/>
            <w:vAlign w:val="center"/>
            <w:hideMark/>
          </w:tcPr>
          <w:p w14:paraId="52D774DC" w14:textId="5960CD9C"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w:t>
            </w:r>
          </w:p>
        </w:tc>
        <w:tc>
          <w:tcPr>
            <w:tcW w:w="1335" w:type="dxa"/>
            <w:tcBorders>
              <w:top w:val="nil"/>
              <w:left w:val="single" w:sz="12" w:space="0" w:color="auto"/>
              <w:bottom w:val="single" w:sz="4" w:space="0" w:color="auto"/>
              <w:right w:val="single" w:sz="12" w:space="0" w:color="auto"/>
            </w:tcBorders>
            <w:noWrap/>
            <w:vAlign w:val="center"/>
            <w:hideMark/>
          </w:tcPr>
          <w:p w14:paraId="2EAAECFF" w14:textId="0082F179"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w:t>
            </w:r>
          </w:p>
        </w:tc>
      </w:tr>
      <w:tr w:rsidR="00750906" w:rsidRPr="00181FC3" w14:paraId="60F7F65B" w14:textId="77777777">
        <w:trPr>
          <w:trHeight w:val="300"/>
        </w:trPr>
        <w:tc>
          <w:tcPr>
            <w:tcW w:w="1260" w:type="dxa"/>
            <w:tcBorders>
              <w:top w:val="nil"/>
              <w:left w:val="single" w:sz="12" w:space="0" w:color="auto"/>
              <w:bottom w:val="single" w:sz="4" w:space="0" w:color="auto"/>
              <w:right w:val="single" w:sz="4" w:space="0" w:color="auto"/>
            </w:tcBorders>
            <w:noWrap/>
            <w:vAlign w:val="bottom"/>
            <w:hideMark/>
          </w:tcPr>
          <w:p w14:paraId="76CF14C5" w14:textId="1BD30435"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19,518</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015CB8B0" w14:textId="1CC82265"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Central </w:t>
            </w:r>
            <w:r>
              <w:rPr>
                <w:rFonts w:eastAsia="Times New Roman" w:cs="Times New Roman"/>
                <w:color w:val="000000"/>
                <w:kern w:val="0"/>
                <w:sz w:val="20"/>
                <w:szCs w:val="20"/>
                <w:lang w:eastAsia="en-GB"/>
                <w14:ligatures w14:val="none"/>
              </w:rPr>
              <w:t>Costs</w:t>
            </w:r>
          </w:p>
        </w:tc>
        <w:tc>
          <w:tcPr>
            <w:tcW w:w="1276" w:type="dxa"/>
            <w:tcBorders>
              <w:top w:val="nil"/>
              <w:left w:val="nil"/>
              <w:bottom w:val="single" w:sz="4" w:space="0" w:color="auto"/>
              <w:right w:val="single" w:sz="4" w:space="0" w:color="auto"/>
            </w:tcBorders>
            <w:noWrap/>
            <w:vAlign w:val="center"/>
            <w:hideMark/>
          </w:tcPr>
          <w:p w14:paraId="5D25F9CC" w14:textId="392D6F00"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32,040</w:t>
            </w:r>
          </w:p>
        </w:tc>
        <w:tc>
          <w:tcPr>
            <w:tcW w:w="1320" w:type="dxa"/>
            <w:tcBorders>
              <w:top w:val="nil"/>
              <w:left w:val="single" w:sz="12" w:space="0" w:color="auto"/>
              <w:bottom w:val="single" w:sz="4" w:space="0" w:color="auto"/>
              <w:right w:val="single" w:sz="4" w:space="0" w:color="auto"/>
            </w:tcBorders>
            <w:noWrap/>
            <w:vAlign w:val="center"/>
            <w:hideMark/>
          </w:tcPr>
          <w:p w14:paraId="14ECFA5A" w14:textId="7570B003"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32,411</w:t>
            </w:r>
          </w:p>
        </w:tc>
        <w:tc>
          <w:tcPr>
            <w:tcW w:w="1314" w:type="dxa"/>
            <w:tcBorders>
              <w:top w:val="nil"/>
              <w:left w:val="single" w:sz="12" w:space="0" w:color="auto"/>
              <w:bottom w:val="single" w:sz="4" w:space="0" w:color="auto"/>
              <w:right w:val="single" w:sz="4" w:space="0" w:color="auto"/>
            </w:tcBorders>
            <w:noWrap/>
            <w:vAlign w:val="center"/>
            <w:hideMark/>
          </w:tcPr>
          <w:p w14:paraId="624D1B92" w14:textId="7DA6B59E"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32,383</w:t>
            </w:r>
          </w:p>
        </w:tc>
        <w:tc>
          <w:tcPr>
            <w:tcW w:w="1335" w:type="dxa"/>
            <w:tcBorders>
              <w:top w:val="nil"/>
              <w:left w:val="single" w:sz="12" w:space="0" w:color="auto"/>
              <w:bottom w:val="single" w:sz="4" w:space="0" w:color="auto"/>
              <w:right w:val="single" w:sz="12" w:space="0" w:color="auto"/>
            </w:tcBorders>
            <w:noWrap/>
            <w:vAlign w:val="center"/>
            <w:hideMark/>
          </w:tcPr>
          <w:p w14:paraId="432797D1" w14:textId="042435E3"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32,696</w:t>
            </w:r>
          </w:p>
        </w:tc>
      </w:tr>
      <w:tr w:rsidR="00750906" w:rsidRPr="00181FC3" w14:paraId="67F64952" w14:textId="77777777">
        <w:trPr>
          <w:trHeight w:val="270"/>
        </w:trPr>
        <w:tc>
          <w:tcPr>
            <w:tcW w:w="126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3B2DB33" w14:textId="26CFA0E9" w:rsidR="00750906" w:rsidRPr="00181FC3" w:rsidRDefault="00750906" w:rsidP="00750906">
            <w:pPr>
              <w:jc w:val="right"/>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161,996</w:t>
            </w:r>
          </w:p>
        </w:tc>
        <w:tc>
          <w:tcPr>
            <w:tcW w:w="3047" w:type="dxa"/>
            <w:tcBorders>
              <w:top w:val="single" w:sz="12" w:space="0" w:color="auto"/>
              <w:left w:val="single" w:sz="12" w:space="0" w:color="auto"/>
              <w:bottom w:val="single" w:sz="12" w:space="0" w:color="auto"/>
              <w:right w:val="single" w:sz="12" w:space="0" w:color="auto"/>
            </w:tcBorders>
            <w:shd w:val="clear" w:color="auto" w:fill="E8E8E8"/>
            <w:vAlign w:val="bottom"/>
            <w:hideMark/>
          </w:tcPr>
          <w:p w14:paraId="1F8FFAB6" w14:textId="3177EF50" w:rsidR="00750906" w:rsidRPr="00181FC3" w:rsidRDefault="00750906" w:rsidP="00750906">
            <w:pP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Total Expenditure</w:t>
            </w:r>
          </w:p>
        </w:tc>
        <w:tc>
          <w:tcPr>
            <w:tcW w:w="1276" w:type="dxa"/>
            <w:tcBorders>
              <w:top w:val="single" w:sz="12" w:space="0" w:color="auto"/>
              <w:left w:val="nil"/>
              <w:bottom w:val="single" w:sz="12" w:space="0" w:color="auto"/>
              <w:right w:val="single" w:sz="4" w:space="0" w:color="auto"/>
            </w:tcBorders>
            <w:shd w:val="clear" w:color="auto" w:fill="E8E8E8"/>
            <w:noWrap/>
            <w:vAlign w:val="center"/>
            <w:hideMark/>
          </w:tcPr>
          <w:p w14:paraId="7191E105" w14:textId="265DBEE9"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154,693</w:t>
            </w:r>
          </w:p>
        </w:tc>
        <w:tc>
          <w:tcPr>
            <w:tcW w:w="1320"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047272E8" w14:textId="37112C7F"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154,507</w:t>
            </w:r>
          </w:p>
        </w:tc>
        <w:tc>
          <w:tcPr>
            <w:tcW w:w="131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35AEEBF3" w14:textId="6554773C"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155,177</w:t>
            </w:r>
          </w:p>
        </w:tc>
        <w:tc>
          <w:tcPr>
            <w:tcW w:w="1335"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129E8F90" w14:textId="7CD5DDB1"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156,213</w:t>
            </w:r>
          </w:p>
        </w:tc>
      </w:tr>
      <w:tr w:rsidR="00750906" w:rsidRPr="00181FC3" w14:paraId="04C9386E" w14:textId="77777777">
        <w:trPr>
          <w:trHeight w:val="280"/>
        </w:trPr>
        <w:tc>
          <w:tcPr>
            <w:tcW w:w="1260" w:type="dxa"/>
            <w:tcBorders>
              <w:top w:val="single" w:sz="4" w:space="0" w:color="auto"/>
              <w:left w:val="single" w:sz="12" w:space="0" w:color="auto"/>
              <w:bottom w:val="single" w:sz="4" w:space="0" w:color="auto"/>
              <w:right w:val="single" w:sz="4" w:space="0" w:color="auto"/>
            </w:tcBorders>
            <w:noWrap/>
            <w:vAlign w:val="bottom"/>
            <w:hideMark/>
          </w:tcPr>
          <w:p w14:paraId="6E67CFF7" w14:textId="1DA650EA"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(200) </w:t>
            </w:r>
          </w:p>
        </w:tc>
        <w:tc>
          <w:tcPr>
            <w:tcW w:w="3047" w:type="dxa"/>
            <w:tcBorders>
              <w:top w:val="single" w:sz="4" w:space="0" w:color="auto"/>
              <w:left w:val="single" w:sz="12" w:space="0" w:color="auto"/>
              <w:bottom w:val="single" w:sz="4" w:space="0" w:color="auto"/>
              <w:right w:val="single" w:sz="12" w:space="0" w:color="auto"/>
            </w:tcBorders>
            <w:shd w:val="clear" w:color="auto" w:fill="E8E8E8"/>
            <w:noWrap/>
            <w:vAlign w:val="bottom"/>
            <w:hideMark/>
          </w:tcPr>
          <w:p w14:paraId="1FA21644" w14:textId="54F01899" w:rsidR="00750906" w:rsidRPr="00181FC3" w:rsidRDefault="00750906" w:rsidP="00750906">
            <w:pPr>
              <w:rPr>
                <w:rFonts w:eastAsia="Times New Roman" w:cs="Times New Roman"/>
                <w:b/>
                <w:bCs/>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Charges</w:t>
            </w:r>
          </w:p>
        </w:tc>
        <w:tc>
          <w:tcPr>
            <w:tcW w:w="1276" w:type="dxa"/>
            <w:tcBorders>
              <w:top w:val="single" w:sz="4" w:space="0" w:color="auto"/>
              <w:left w:val="nil"/>
              <w:bottom w:val="single" w:sz="4" w:space="0" w:color="auto"/>
              <w:right w:val="single" w:sz="4" w:space="0" w:color="auto"/>
            </w:tcBorders>
            <w:noWrap/>
            <w:vAlign w:val="center"/>
            <w:hideMark/>
          </w:tcPr>
          <w:p w14:paraId="283CF8F5" w14:textId="36EB3F34"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(200)</w:t>
            </w:r>
          </w:p>
        </w:tc>
        <w:tc>
          <w:tcPr>
            <w:tcW w:w="1320" w:type="dxa"/>
            <w:tcBorders>
              <w:top w:val="single" w:sz="4" w:space="0" w:color="auto"/>
              <w:left w:val="single" w:sz="12" w:space="0" w:color="auto"/>
              <w:bottom w:val="single" w:sz="4" w:space="0" w:color="auto"/>
              <w:right w:val="single" w:sz="4" w:space="0" w:color="auto"/>
            </w:tcBorders>
            <w:noWrap/>
            <w:vAlign w:val="center"/>
            <w:hideMark/>
          </w:tcPr>
          <w:p w14:paraId="4627A911" w14:textId="79E488A0"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(200)</w:t>
            </w:r>
          </w:p>
        </w:tc>
        <w:tc>
          <w:tcPr>
            <w:tcW w:w="1314" w:type="dxa"/>
            <w:tcBorders>
              <w:top w:val="single" w:sz="4" w:space="0" w:color="auto"/>
              <w:left w:val="single" w:sz="12" w:space="0" w:color="auto"/>
              <w:bottom w:val="single" w:sz="4" w:space="0" w:color="auto"/>
              <w:right w:val="single" w:sz="4" w:space="0" w:color="auto"/>
            </w:tcBorders>
            <w:noWrap/>
            <w:vAlign w:val="center"/>
            <w:hideMark/>
          </w:tcPr>
          <w:p w14:paraId="7A8DD7C0" w14:textId="4F5A610E"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(200)</w:t>
            </w:r>
          </w:p>
        </w:tc>
        <w:tc>
          <w:tcPr>
            <w:tcW w:w="1335" w:type="dxa"/>
            <w:tcBorders>
              <w:top w:val="single" w:sz="4" w:space="0" w:color="auto"/>
              <w:left w:val="single" w:sz="12" w:space="0" w:color="auto"/>
              <w:bottom w:val="single" w:sz="4" w:space="0" w:color="auto"/>
              <w:right w:val="single" w:sz="12" w:space="0" w:color="auto"/>
            </w:tcBorders>
            <w:noWrap/>
            <w:vAlign w:val="center"/>
            <w:hideMark/>
          </w:tcPr>
          <w:p w14:paraId="2E9AD424" w14:textId="594A2489"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(200)</w:t>
            </w:r>
          </w:p>
        </w:tc>
      </w:tr>
      <w:tr w:rsidR="00750906" w:rsidRPr="00181FC3" w14:paraId="66069E72" w14:textId="77777777">
        <w:trPr>
          <w:trHeight w:val="270"/>
        </w:trPr>
        <w:tc>
          <w:tcPr>
            <w:tcW w:w="1260" w:type="dxa"/>
            <w:tcBorders>
              <w:top w:val="nil"/>
              <w:left w:val="single" w:sz="12" w:space="0" w:color="auto"/>
              <w:bottom w:val="single" w:sz="4" w:space="0" w:color="auto"/>
              <w:right w:val="single" w:sz="4" w:space="0" w:color="auto"/>
            </w:tcBorders>
            <w:noWrap/>
            <w:vAlign w:val="bottom"/>
            <w:hideMark/>
          </w:tcPr>
          <w:p w14:paraId="36869526" w14:textId="14527D7E"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(119,454) </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6414ADB1" w14:textId="5ADC7002"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Grant</w:t>
            </w:r>
          </w:p>
        </w:tc>
        <w:tc>
          <w:tcPr>
            <w:tcW w:w="1276" w:type="dxa"/>
            <w:tcBorders>
              <w:top w:val="nil"/>
              <w:left w:val="nil"/>
              <w:bottom w:val="single" w:sz="4" w:space="0" w:color="auto"/>
              <w:right w:val="single" w:sz="4" w:space="0" w:color="auto"/>
            </w:tcBorders>
            <w:noWrap/>
            <w:vAlign w:val="center"/>
            <w:hideMark/>
          </w:tcPr>
          <w:p w14:paraId="085845CE" w14:textId="0C687C6E"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(98,304)</w:t>
            </w:r>
          </w:p>
        </w:tc>
        <w:tc>
          <w:tcPr>
            <w:tcW w:w="1320" w:type="dxa"/>
            <w:tcBorders>
              <w:top w:val="nil"/>
              <w:left w:val="single" w:sz="12" w:space="0" w:color="auto"/>
              <w:bottom w:val="single" w:sz="4" w:space="0" w:color="auto"/>
              <w:right w:val="single" w:sz="4" w:space="0" w:color="auto"/>
            </w:tcBorders>
            <w:noWrap/>
            <w:vAlign w:val="center"/>
            <w:hideMark/>
          </w:tcPr>
          <w:p w14:paraId="3D7AB5E5" w14:textId="1F7A4794"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(98,304)</w:t>
            </w:r>
          </w:p>
        </w:tc>
        <w:tc>
          <w:tcPr>
            <w:tcW w:w="1314" w:type="dxa"/>
            <w:tcBorders>
              <w:top w:val="nil"/>
              <w:left w:val="single" w:sz="12" w:space="0" w:color="auto"/>
              <w:bottom w:val="single" w:sz="4" w:space="0" w:color="auto"/>
              <w:right w:val="single" w:sz="4" w:space="0" w:color="auto"/>
            </w:tcBorders>
            <w:noWrap/>
            <w:vAlign w:val="center"/>
            <w:hideMark/>
          </w:tcPr>
          <w:p w14:paraId="27A0E5AA" w14:textId="3118B469"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(98,304)</w:t>
            </w:r>
          </w:p>
        </w:tc>
        <w:tc>
          <w:tcPr>
            <w:tcW w:w="1335" w:type="dxa"/>
            <w:tcBorders>
              <w:top w:val="nil"/>
              <w:left w:val="single" w:sz="12" w:space="0" w:color="auto"/>
              <w:bottom w:val="single" w:sz="4" w:space="0" w:color="auto"/>
              <w:right w:val="single" w:sz="12" w:space="0" w:color="auto"/>
            </w:tcBorders>
            <w:noWrap/>
            <w:vAlign w:val="center"/>
            <w:hideMark/>
          </w:tcPr>
          <w:p w14:paraId="62976B92" w14:textId="1BCDEA1A"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(98,304)</w:t>
            </w:r>
          </w:p>
        </w:tc>
      </w:tr>
      <w:tr w:rsidR="00750906" w:rsidRPr="00181FC3" w14:paraId="1E36500C" w14:textId="77777777">
        <w:trPr>
          <w:trHeight w:val="260"/>
        </w:trPr>
        <w:tc>
          <w:tcPr>
            <w:tcW w:w="1260" w:type="dxa"/>
            <w:tcBorders>
              <w:top w:val="nil"/>
              <w:left w:val="single" w:sz="12" w:space="0" w:color="auto"/>
              <w:bottom w:val="single" w:sz="4" w:space="0" w:color="auto"/>
              <w:right w:val="single" w:sz="4" w:space="0" w:color="auto"/>
            </w:tcBorders>
            <w:noWrap/>
            <w:vAlign w:val="bottom"/>
            <w:hideMark/>
          </w:tcPr>
          <w:p w14:paraId="26F97686" w14:textId="635E4278"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(1,129) </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4B44B6DD" w14:textId="10D3D58E"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Recharges</w:t>
            </w:r>
          </w:p>
        </w:tc>
        <w:tc>
          <w:tcPr>
            <w:tcW w:w="1276" w:type="dxa"/>
            <w:tcBorders>
              <w:top w:val="nil"/>
              <w:left w:val="nil"/>
              <w:bottom w:val="single" w:sz="4" w:space="0" w:color="auto"/>
              <w:right w:val="single" w:sz="4" w:space="0" w:color="auto"/>
            </w:tcBorders>
            <w:noWrap/>
            <w:vAlign w:val="center"/>
            <w:hideMark/>
          </w:tcPr>
          <w:p w14:paraId="2628215E" w14:textId="459AA5A3"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(1,709)</w:t>
            </w:r>
          </w:p>
        </w:tc>
        <w:tc>
          <w:tcPr>
            <w:tcW w:w="1320" w:type="dxa"/>
            <w:tcBorders>
              <w:top w:val="nil"/>
              <w:left w:val="single" w:sz="12" w:space="0" w:color="auto"/>
              <w:bottom w:val="single" w:sz="4" w:space="0" w:color="auto"/>
              <w:right w:val="single" w:sz="4" w:space="0" w:color="auto"/>
            </w:tcBorders>
            <w:noWrap/>
            <w:vAlign w:val="center"/>
            <w:hideMark/>
          </w:tcPr>
          <w:p w14:paraId="6C94C7E5" w14:textId="58D12EE9"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(1,709)</w:t>
            </w:r>
          </w:p>
        </w:tc>
        <w:tc>
          <w:tcPr>
            <w:tcW w:w="1314" w:type="dxa"/>
            <w:tcBorders>
              <w:top w:val="nil"/>
              <w:left w:val="single" w:sz="12" w:space="0" w:color="auto"/>
              <w:bottom w:val="single" w:sz="4" w:space="0" w:color="auto"/>
              <w:right w:val="single" w:sz="4" w:space="0" w:color="auto"/>
            </w:tcBorders>
            <w:noWrap/>
            <w:vAlign w:val="center"/>
            <w:hideMark/>
          </w:tcPr>
          <w:p w14:paraId="22C5979A" w14:textId="6C019288"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(1,709)</w:t>
            </w:r>
          </w:p>
        </w:tc>
        <w:tc>
          <w:tcPr>
            <w:tcW w:w="1335" w:type="dxa"/>
            <w:tcBorders>
              <w:top w:val="nil"/>
              <w:left w:val="single" w:sz="12" w:space="0" w:color="auto"/>
              <w:bottom w:val="single" w:sz="4" w:space="0" w:color="auto"/>
              <w:right w:val="single" w:sz="12" w:space="0" w:color="auto"/>
            </w:tcBorders>
            <w:noWrap/>
            <w:vAlign w:val="center"/>
            <w:hideMark/>
          </w:tcPr>
          <w:p w14:paraId="1155A8B8" w14:textId="135F6F35"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(1,709)</w:t>
            </w:r>
          </w:p>
        </w:tc>
      </w:tr>
      <w:tr w:rsidR="00750906" w:rsidRPr="00181FC3" w14:paraId="1FF8715E" w14:textId="77777777">
        <w:trPr>
          <w:trHeight w:val="260"/>
        </w:trPr>
        <w:tc>
          <w:tcPr>
            <w:tcW w:w="1260" w:type="dxa"/>
            <w:tcBorders>
              <w:top w:val="nil"/>
              <w:left w:val="single" w:sz="12" w:space="0" w:color="auto"/>
              <w:bottom w:val="single" w:sz="4" w:space="0" w:color="auto"/>
              <w:right w:val="single" w:sz="4" w:space="0" w:color="auto"/>
            </w:tcBorders>
            <w:noWrap/>
            <w:vAlign w:val="bottom"/>
            <w:hideMark/>
          </w:tcPr>
          <w:p w14:paraId="24A98E7D" w14:textId="6EE3884F"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                     - </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17CC18BF" w14:textId="1A6D1393" w:rsidR="00750906" w:rsidRPr="00181FC3" w:rsidRDefault="00750906" w:rsidP="00750906">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Support Services Recharged to Grant Delivery- Capital</w:t>
            </w:r>
          </w:p>
        </w:tc>
        <w:tc>
          <w:tcPr>
            <w:tcW w:w="1276" w:type="dxa"/>
            <w:tcBorders>
              <w:top w:val="nil"/>
              <w:left w:val="nil"/>
              <w:bottom w:val="single" w:sz="4" w:space="0" w:color="auto"/>
              <w:right w:val="single" w:sz="4" w:space="0" w:color="auto"/>
            </w:tcBorders>
            <w:noWrap/>
            <w:vAlign w:val="center"/>
            <w:hideMark/>
          </w:tcPr>
          <w:p w14:paraId="0BDE07DE" w14:textId="4F3A0B36"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(2,661)</w:t>
            </w:r>
          </w:p>
        </w:tc>
        <w:tc>
          <w:tcPr>
            <w:tcW w:w="1320" w:type="dxa"/>
            <w:tcBorders>
              <w:top w:val="nil"/>
              <w:left w:val="single" w:sz="12" w:space="0" w:color="auto"/>
              <w:bottom w:val="single" w:sz="4" w:space="0" w:color="auto"/>
              <w:right w:val="single" w:sz="4" w:space="0" w:color="auto"/>
            </w:tcBorders>
            <w:noWrap/>
            <w:vAlign w:val="center"/>
            <w:hideMark/>
          </w:tcPr>
          <w:p w14:paraId="5FE09721" w14:textId="00CCF0FC"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(2,851)</w:t>
            </w:r>
          </w:p>
        </w:tc>
        <w:tc>
          <w:tcPr>
            <w:tcW w:w="1314" w:type="dxa"/>
            <w:tcBorders>
              <w:top w:val="nil"/>
              <w:left w:val="single" w:sz="12" w:space="0" w:color="auto"/>
              <w:bottom w:val="single" w:sz="4" w:space="0" w:color="auto"/>
              <w:right w:val="single" w:sz="4" w:space="0" w:color="auto"/>
            </w:tcBorders>
            <w:noWrap/>
            <w:vAlign w:val="center"/>
            <w:hideMark/>
          </w:tcPr>
          <w:p w14:paraId="4612B1C4" w14:textId="5145A945"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(2,982)</w:t>
            </w:r>
          </w:p>
        </w:tc>
        <w:tc>
          <w:tcPr>
            <w:tcW w:w="1335" w:type="dxa"/>
            <w:tcBorders>
              <w:top w:val="nil"/>
              <w:left w:val="single" w:sz="12" w:space="0" w:color="auto"/>
              <w:bottom w:val="single" w:sz="4" w:space="0" w:color="auto"/>
              <w:right w:val="single" w:sz="12" w:space="0" w:color="auto"/>
            </w:tcBorders>
            <w:noWrap/>
            <w:vAlign w:val="center"/>
            <w:hideMark/>
          </w:tcPr>
          <w:p w14:paraId="563A91CE" w14:textId="787B9EF8"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(3,115)</w:t>
            </w:r>
          </w:p>
        </w:tc>
      </w:tr>
      <w:tr w:rsidR="00750906" w:rsidRPr="00181FC3" w14:paraId="5807915D" w14:textId="77777777">
        <w:trPr>
          <w:trHeight w:val="260"/>
        </w:trPr>
        <w:tc>
          <w:tcPr>
            <w:tcW w:w="1260" w:type="dxa"/>
            <w:tcBorders>
              <w:top w:val="nil"/>
              <w:left w:val="single" w:sz="12" w:space="0" w:color="auto"/>
              <w:bottom w:val="single" w:sz="4" w:space="0" w:color="auto"/>
              <w:right w:val="single" w:sz="4" w:space="0" w:color="auto"/>
            </w:tcBorders>
            <w:noWrap/>
            <w:vAlign w:val="bottom"/>
            <w:hideMark/>
          </w:tcPr>
          <w:p w14:paraId="1921DB59" w14:textId="35AFBBD3"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(21,164) </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42E8A1A6" w14:textId="373A6932"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Contributions Summary</w:t>
            </w:r>
          </w:p>
        </w:tc>
        <w:tc>
          <w:tcPr>
            <w:tcW w:w="1276" w:type="dxa"/>
            <w:tcBorders>
              <w:top w:val="nil"/>
              <w:left w:val="nil"/>
              <w:bottom w:val="single" w:sz="4" w:space="0" w:color="auto"/>
              <w:right w:val="single" w:sz="4" w:space="0" w:color="auto"/>
            </w:tcBorders>
            <w:noWrap/>
            <w:vAlign w:val="center"/>
            <w:hideMark/>
          </w:tcPr>
          <w:p w14:paraId="718E3F9C" w14:textId="398E92C5"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(26,011)</w:t>
            </w:r>
          </w:p>
        </w:tc>
        <w:tc>
          <w:tcPr>
            <w:tcW w:w="1320" w:type="dxa"/>
            <w:tcBorders>
              <w:top w:val="nil"/>
              <w:left w:val="single" w:sz="12" w:space="0" w:color="auto"/>
              <w:bottom w:val="single" w:sz="4" w:space="0" w:color="auto"/>
              <w:right w:val="single" w:sz="4" w:space="0" w:color="auto"/>
            </w:tcBorders>
            <w:noWrap/>
            <w:vAlign w:val="center"/>
            <w:hideMark/>
          </w:tcPr>
          <w:p w14:paraId="792B297F" w14:textId="2DA16104"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(23,701)</w:t>
            </w:r>
          </w:p>
        </w:tc>
        <w:tc>
          <w:tcPr>
            <w:tcW w:w="1314" w:type="dxa"/>
            <w:tcBorders>
              <w:top w:val="nil"/>
              <w:left w:val="single" w:sz="12" w:space="0" w:color="auto"/>
              <w:bottom w:val="single" w:sz="4" w:space="0" w:color="auto"/>
              <w:right w:val="single" w:sz="4" w:space="0" w:color="auto"/>
            </w:tcBorders>
            <w:noWrap/>
            <w:vAlign w:val="center"/>
            <w:hideMark/>
          </w:tcPr>
          <w:p w14:paraId="07E3E7A6" w14:textId="23139AF1"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(23,950)</w:t>
            </w:r>
          </w:p>
        </w:tc>
        <w:tc>
          <w:tcPr>
            <w:tcW w:w="1335" w:type="dxa"/>
            <w:tcBorders>
              <w:top w:val="nil"/>
              <w:left w:val="single" w:sz="12" w:space="0" w:color="auto"/>
              <w:bottom w:val="single" w:sz="4" w:space="0" w:color="auto"/>
              <w:right w:val="single" w:sz="12" w:space="0" w:color="auto"/>
            </w:tcBorders>
            <w:noWrap/>
            <w:vAlign w:val="center"/>
            <w:hideMark/>
          </w:tcPr>
          <w:p w14:paraId="4D3A7E2E" w14:textId="422BC3C7"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(24,210)</w:t>
            </w:r>
          </w:p>
        </w:tc>
      </w:tr>
      <w:tr w:rsidR="00750906" w:rsidRPr="00181FC3" w14:paraId="3FFAFC9C" w14:textId="77777777">
        <w:trPr>
          <w:trHeight w:val="260"/>
        </w:trPr>
        <w:tc>
          <w:tcPr>
            <w:tcW w:w="1260" w:type="dxa"/>
            <w:tcBorders>
              <w:top w:val="nil"/>
              <w:left w:val="single" w:sz="12" w:space="0" w:color="auto"/>
              <w:bottom w:val="single" w:sz="4" w:space="0" w:color="auto"/>
              <w:right w:val="single" w:sz="4" w:space="0" w:color="auto"/>
            </w:tcBorders>
            <w:noWrap/>
            <w:vAlign w:val="bottom"/>
            <w:hideMark/>
          </w:tcPr>
          <w:p w14:paraId="356070C8" w14:textId="5A57027B"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(1,750) </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4FD373E2" w14:textId="08DAA902"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Bank Interest</w:t>
            </w:r>
          </w:p>
        </w:tc>
        <w:tc>
          <w:tcPr>
            <w:tcW w:w="1276" w:type="dxa"/>
            <w:tcBorders>
              <w:top w:val="nil"/>
              <w:left w:val="nil"/>
              <w:bottom w:val="single" w:sz="4" w:space="0" w:color="auto"/>
              <w:right w:val="single" w:sz="4" w:space="0" w:color="auto"/>
            </w:tcBorders>
            <w:noWrap/>
            <w:vAlign w:val="center"/>
            <w:hideMark/>
          </w:tcPr>
          <w:p w14:paraId="7E118D06" w14:textId="240273EC"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(1,500)</w:t>
            </w:r>
          </w:p>
        </w:tc>
        <w:tc>
          <w:tcPr>
            <w:tcW w:w="1320" w:type="dxa"/>
            <w:tcBorders>
              <w:top w:val="nil"/>
              <w:left w:val="single" w:sz="12" w:space="0" w:color="auto"/>
              <w:bottom w:val="single" w:sz="4" w:space="0" w:color="auto"/>
              <w:right w:val="single" w:sz="4" w:space="0" w:color="auto"/>
            </w:tcBorders>
            <w:noWrap/>
            <w:vAlign w:val="center"/>
            <w:hideMark/>
          </w:tcPr>
          <w:p w14:paraId="025C1CEA" w14:textId="0D25FB48"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(1,500)</w:t>
            </w:r>
          </w:p>
        </w:tc>
        <w:tc>
          <w:tcPr>
            <w:tcW w:w="1314" w:type="dxa"/>
            <w:tcBorders>
              <w:top w:val="nil"/>
              <w:left w:val="single" w:sz="12" w:space="0" w:color="auto"/>
              <w:bottom w:val="single" w:sz="4" w:space="0" w:color="auto"/>
              <w:right w:val="single" w:sz="4" w:space="0" w:color="auto"/>
            </w:tcBorders>
            <w:noWrap/>
            <w:vAlign w:val="center"/>
            <w:hideMark/>
          </w:tcPr>
          <w:p w14:paraId="22CDE8B1" w14:textId="0525A4C5"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(1,500)</w:t>
            </w:r>
          </w:p>
        </w:tc>
        <w:tc>
          <w:tcPr>
            <w:tcW w:w="1335" w:type="dxa"/>
            <w:tcBorders>
              <w:top w:val="nil"/>
              <w:left w:val="single" w:sz="12" w:space="0" w:color="auto"/>
              <w:bottom w:val="single" w:sz="4" w:space="0" w:color="auto"/>
              <w:right w:val="single" w:sz="12" w:space="0" w:color="auto"/>
            </w:tcBorders>
            <w:noWrap/>
            <w:vAlign w:val="center"/>
            <w:hideMark/>
          </w:tcPr>
          <w:p w14:paraId="5064A42C" w14:textId="102EC21B"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(1,500)</w:t>
            </w:r>
          </w:p>
        </w:tc>
      </w:tr>
      <w:tr w:rsidR="00750906" w:rsidRPr="00181FC3" w14:paraId="344BAF2C" w14:textId="77777777">
        <w:trPr>
          <w:trHeight w:val="260"/>
        </w:trPr>
        <w:tc>
          <w:tcPr>
            <w:tcW w:w="1260" w:type="dxa"/>
            <w:tcBorders>
              <w:top w:val="nil"/>
              <w:left w:val="single" w:sz="12" w:space="0" w:color="auto"/>
              <w:bottom w:val="single" w:sz="4" w:space="0" w:color="auto"/>
              <w:right w:val="single" w:sz="4" w:space="0" w:color="auto"/>
            </w:tcBorders>
            <w:noWrap/>
            <w:vAlign w:val="bottom"/>
            <w:hideMark/>
          </w:tcPr>
          <w:p w14:paraId="1AB9B13C" w14:textId="0E661B3F"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(12,063) </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60D105FD" w14:textId="65C23ED5"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Interest From Investments</w:t>
            </w:r>
          </w:p>
        </w:tc>
        <w:tc>
          <w:tcPr>
            <w:tcW w:w="1276" w:type="dxa"/>
            <w:tcBorders>
              <w:top w:val="nil"/>
              <w:left w:val="nil"/>
              <w:bottom w:val="single" w:sz="4" w:space="0" w:color="auto"/>
              <w:right w:val="single" w:sz="4" w:space="0" w:color="auto"/>
            </w:tcBorders>
            <w:noWrap/>
            <w:vAlign w:val="center"/>
            <w:hideMark/>
          </w:tcPr>
          <w:p w14:paraId="4DDFA7C8" w14:textId="6CD9438C"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(20,678)</w:t>
            </w:r>
          </w:p>
        </w:tc>
        <w:tc>
          <w:tcPr>
            <w:tcW w:w="1320" w:type="dxa"/>
            <w:tcBorders>
              <w:top w:val="nil"/>
              <w:left w:val="single" w:sz="12" w:space="0" w:color="auto"/>
              <w:bottom w:val="single" w:sz="4" w:space="0" w:color="auto"/>
              <w:right w:val="single" w:sz="4" w:space="0" w:color="auto"/>
            </w:tcBorders>
            <w:noWrap/>
            <w:vAlign w:val="center"/>
            <w:hideMark/>
          </w:tcPr>
          <w:p w14:paraId="18347A93" w14:textId="66014579"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(21,423)</w:t>
            </w:r>
          </w:p>
        </w:tc>
        <w:tc>
          <w:tcPr>
            <w:tcW w:w="1314" w:type="dxa"/>
            <w:tcBorders>
              <w:top w:val="nil"/>
              <w:left w:val="single" w:sz="12" w:space="0" w:color="auto"/>
              <w:bottom w:val="single" w:sz="4" w:space="0" w:color="auto"/>
              <w:right w:val="single" w:sz="4" w:space="0" w:color="auto"/>
            </w:tcBorders>
            <w:noWrap/>
            <w:vAlign w:val="center"/>
            <w:hideMark/>
          </w:tcPr>
          <w:p w14:paraId="304F27DB" w14:textId="59D31749"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(22,081)</w:t>
            </w:r>
          </w:p>
        </w:tc>
        <w:tc>
          <w:tcPr>
            <w:tcW w:w="1335" w:type="dxa"/>
            <w:tcBorders>
              <w:top w:val="nil"/>
              <w:left w:val="single" w:sz="12" w:space="0" w:color="auto"/>
              <w:bottom w:val="single" w:sz="4" w:space="0" w:color="auto"/>
              <w:right w:val="single" w:sz="12" w:space="0" w:color="auto"/>
            </w:tcBorders>
            <w:noWrap/>
            <w:vAlign w:val="center"/>
            <w:hideMark/>
          </w:tcPr>
          <w:p w14:paraId="67B8B6DA" w14:textId="12312DAE"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(22,999)</w:t>
            </w:r>
          </w:p>
        </w:tc>
      </w:tr>
      <w:tr w:rsidR="00750906" w:rsidRPr="00181FC3" w14:paraId="70DFC1AF" w14:textId="77777777">
        <w:trPr>
          <w:trHeight w:val="260"/>
        </w:trPr>
        <w:tc>
          <w:tcPr>
            <w:tcW w:w="1260" w:type="dxa"/>
            <w:tcBorders>
              <w:top w:val="nil"/>
              <w:left w:val="single" w:sz="12" w:space="0" w:color="auto"/>
              <w:bottom w:val="single" w:sz="4" w:space="0" w:color="auto"/>
              <w:right w:val="single" w:sz="4" w:space="0" w:color="auto"/>
            </w:tcBorders>
            <w:noWrap/>
            <w:vAlign w:val="bottom"/>
            <w:hideMark/>
          </w:tcPr>
          <w:p w14:paraId="568C0CFD" w14:textId="329B2E57"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(464) </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55DB363A" w14:textId="41C55CAE"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Rents</w:t>
            </w:r>
          </w:p>
        </w:tc>
        <w:tc>
          <w:tcPr>
            <w:tcW w:w="1276" w:type="dxa"/>
            <w:tcBorders>
              <w:top w:val="nil"/>
              <w:left w:val="nil"/>
              <w:bottom w:val="single" w:sz="4" w:space="0" w:color="auto"/>
              <w:right w:val="single" w:sz="4" w:space="0" w:color="auto"/>
            </w:tcBorders>
            <w:noWrap/>
            <w:vAlign w:val="center"/>
            <w:hideMark/>
          </w:tcPr>
          <w:p w14:paraId="55BC33A0" w14:textId="03B21DBE"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(5,210)</w:t>
            </w:r>
          </w:p>
        </w:tc>
        <w:tc>
          <w:tcPr>
            <w:tcW w:w="1320" w:type="dxa"/>
            <w:tcBorders>
              <w:top w:val="nil"/>
              <w:left w:val="single" w:sz="12" w:space="0" w:color="auto"/>
              <w:bottom w:val="single" w:sz="4" w:space="0" w:color="auto"/>
              <w:right w:val="single" w:sz="4" w:space="0" w:color="auto"/>
            </w:tcBorders>
            <w:noWrap/>
            <w:vAlign w:val="center"/>
            <w:hideMark/>
          </w:tcPr>
          <w:p w14:paraId="301551D3" w14:textId="632BB7F8"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(5,210)</w:t>
            </w:r>
          </w:p>
        </w:tc>
        <w:tc>
          <w:tcPr>
            <w:tcW w:w="1314" w:type="dxa"/>
            <w:tcBorders>
              <w:top w:val="nil"/>
              <w:left w:val="single" w:sz="12" w:space="0" w:color="auto"/>
              <w:bottom w:val="single" w:sz="4" w:space="0" w:color="auto"/>
              <w:right w:val="single" w:sz="4" w:space="0" w:color="auto"/>
            </w:tcBorders>
            <w:noWrap/>
            <w:vAlign w:val="center"/>
            <w:hideMark/>
          </w:tcPr>
          <w:p w14:paraId="3CF0D72E" w14:textId="1F3D9CE8"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(5,210)</w:t>
            </w:r>
          </w:p>
        </w:tc>
        <w:tc>
          <w:tcPr>
            <w:tcW w:w="1335" w:type="dxa"/>
            <w:tcBorders>
              <w:top w:val="nil"/>
              <w:left w:val="single" w:sz="12" w:space="0" w:color="auto"/>
              <w:bottom w:val="single" w:sz="4" w:space="0" w:color="auto"/>
              <w:right w:val="single" w:sz="12" w:space="0" w:color="auto"/>
            </w:tcBorders>
            <w:noWrap/>
            <w:vAlign w:val="center"/>
            <w:hideMark/>
          </w:tcPr>
          <w:p w14:paraId="7E7BDD25" w14:textId="19B934C5"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(5,210)</w:t>
            </w:r>
          </w:p>
        </w:tc>
      </w:tr>
      <w:tr w:rsidR="00750906" w:rsidRPr="00181FC3" w14:paraId="01EFDFEA" w14:textId="77777777">
        <w:trPr>
          <w:trHeight w:val="270"/>
        </w:trPr>
        <w:tc>
          <w:tcPr>
            <w:tcW w:w="126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316507B" w14:textId="7425FBD8" w:rsidR="00750906" w:rsidRPr="00181FC3" w:rsidRDefault="00750906" w:rsidP="00750906">
            <w:pPr>
              <w:jc w:val="right"/>
              <w:rPr>
                <w:rFonts w:eastAsia="Times New Roman" w:cs="Times New Roman"/>
                <w:b/>
                <w:bCs/>
                <w:color w:val="000000"/>
                <w:kern w:val="0"/>
                <w:sz w:val="20"/>
                <w:szCs w:val="20"/>
                <w:lang w:eastAsia="en-GB"/>
                <w14:ligatures w14:val="none"/>
              </w:rPr>
            </w:pPr>
            <w:r w:rsidRPr="0046422C">
              <w:rPr>
                <w:rFonts w:eastAsia="Times New Roman" w:cs="Times New Roman"/>
                <w:b/>
                <w:bCs/>
                <w:color w:val="000000"/>
                <w:kern w:val="0"/>
                <w:sz w:val="20"/>
                <w:szCs w:val="20"/>
                <w:lang w:eastAsia="en-GB"/>
                <w14:ligatures w14:val="none"/>
              </w:rPr>
              <w:t>(156,224</w:t>
            </w:r>
            <w:r w:rsidRPr="00181FC3">
              <w:rPr>
                <w:rFonts w:eastAsia="Times New Roman" w:cs="Times New Roman"/>
                <w:b/>
                <w:bCs/>
                <w:color w:val="000000"/>
                <w:kern w:val="0"/>
                <w:sz w:val="20"/>
                <w:szCs w:val="20"/>
                <w:lang w:eastAsia="en-GB"/>
                <w14:ligatures w14:val="none"/>
              </w:rPr>
              <w:t xml:space="preserve">) </w:t>
            </w:r>
          </w:p>
        </w:tc>
        <w:tc>
          <w:tcPr>
            <w:tcW w:w="3047" w:type="dxa"/>
            <w:tcBorders>
              <w:top w:val="single" w:sz="12" w:space="0" w:color="auto"/>
              <w:left w:val="single" w:sz="12" w:space="0" w:color="auto"/>
              <w:bottom w:val="single" w:sz="12" w:space="0" w:color="auto"/>
              <w:right w:val="single" w:sz="12" w:space="0" w:color="auto"/>
            </w:tcBorders>
            <w:shd w:val="clear" w:color="auto" w:fill="E8E8E8"/>
            <w:vAlign w:val="bottom"/>
            <w:hideMark/>
          </w:tcPr>
          <w:p w14:paraId="1A1A6CE8" w14:textId="46DD73D2" w:rsidR="00750906" w:rsidRPr="00181FC3" w:rsidRDefault="00750906" w:rsidP="00750906">
            <w:pP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Total Income</w:t>
            </w:r>
          </w:p>
        </w:tc>
        <w:tc>
          <w:tcPr>
            <w:tcW w:w="1276" w:type="dxa"/>
            <w:tcBorders>
              <w:top w:val="single" w:sz="12" w:space="0" w:color="auto"/>
              <w:left w:val="nil"/>
              <w:bottom w:val="single" w:sz="12" w:space="0" w:color="auto"/>
              <w:right w:val="single" w:sz="4" w:space="0" w:color="auto"/>
            </w:tcBorders>
            <w:shd w:val="clear" w:color="auto" w:fill="E8E8E8"/>
            <w:noWrap/>
            <w:vAlign w:val="center"/>
            <w:hideMark/>
          </w:tcPr>
          <w:p w14:paraId="02D0BB2E" w14:textId="712A1DCA"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(156,273)</w:t>
            </w:r>
          </w:p>
        </w:tc>
        <w:tc>
          <w:tcPr>
            <w:tcW w:w="1320"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1CA97E59" w14:textId="77C5BF5F"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(154,898)</w:t>
            </w:r>
          </w:p>
        </w:tc>
        <w:tc>
          <w:tcPr>
            <w:tcW w:w="131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2D60DD60" w14:textId="784B9C6A"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(155,936)</w:t>
            </w:r>
          </w:p>
        </w:tc>
        <w:tc>
          <w:tcPr>
            <w:tcW w:w="1335"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78196977" w14:textId="07BC86EC"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(157,247)</w:t>
            </w:r>
          </w:p>
        </w:tc>
      </w:tr>
      <w:tr w:rsidR="00750906" w:rsidRPr="00181FC3" w14:paraId="31B1E13F" w14:textId="77777777">
        <w:trPr>
          <w:trHeight w:val="280"/>
        </w:trPr>
        <w:tc>
          <w:tcPr>
            <w:tcW w:w="1260" w:type="dxa"/>
            <w:tcBorders>
              <w:top w:val="nil"/>
              <w:left w:val="single" w:sz="12" w:space="0" w:color="auto"/>
              <w:bottom w:val="single" w:sz="12" w:space="0" w:color="auto"/>
              <w:right w:val="single" w:sz="4" w:space="0" w:color="auto"/>
            </w:tcBorders>
            <w:shd w:val="clear" w:color="auto" w:fill="E8E8E8"/>
            <w:noWrap/>
            <w:vAlign w:val="bottom"/>
            <w:hideMark/>
          </w:tcPr>
          <w:p w14:paraId="6A6DB3DA" w14:textId="420637DF" w:rsidR="00750906" w:rsidRPr="00181FC3" w:rsidRDefault="00750906" w:rsidP="00750906">
            <w:pPr>
              <w:jc w:val="right"/>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 xml:space="preserve">              5,772 </w:t>
            </w:r>
          </w:p>
        </w:tc>
        <w:tc>
          <w:tcPr>
            <w:tcW w:w="3047" w:type="dxa"/>
            <w:tcBorders>
              <w:top w:val="nil"/>
              <w:left w:val="single" w:sz="12" w:space="0" w:color="auto"/>
              <w:bottom w:val="single" w:sz="12" w:space="0" w:color="auto"/>
              <w:right w:val="single" w:sz="12" w:space="0" w:color="auto"/>
            </w:tcBorders>
            <w:shd w:val="clear" w:color="auto" w:fill="E8E8E8"/>
            <w:noWrap/>
            <w:vAlign w:val="bottom"/>
            <w:hideMark/>
          </w:tcPr>
          <w:p w14:paraId="0D99939C" w14:textId="69C2C5FE" w:rsidR="00750906" w:rsidRPr="00181FC3" w:rsidRDefault="00750906" w:rsidP="00750906">
            <w:pP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Net Deficit/(Surplus)</w:t>
            </w:r>
          </w:p>
        </w:tc>
        <w:tc>
          <w:tcPr>
            <w:tcW w:w="1276" w:type="dxa"/>
            <w:tcBorders>
              <w:top w:val="nil"/>
              <w:left w:val="nil"/>
              <w:bottom w:val="single" w:sz="12" w:space="0" w:color="auto"/>
              <w:right w:val="single" w:sz="4" w:space="0" w:color="auto"/>
            </w:tcBorders>
            <w:shd w:val="clear" w:color="auto" w:fill="E8E8E8"/>
            <w:noWrap/>
            <w:vAlign w:val="center"/>
            <w:hideMark/>
          </w:tcPr>
          <w:p w14:paraId="57C070E2" w14:textId="6690BB50"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(1,580)</w:t>
            </w:r>
          </w:p>
        </w:tc>
        <w:tc>
          <w:tcPr>
            <w:tcW w:w="1320" w:type="dxa"/>
            <w:tcBorders>
              <w:top w:val="nil"/>
              <w:left w:val="single" w:sz="12" w:space="0" w:color="auto"/>
              <w:bottom w:val="single" w:sz="12" w:space="0" w:color="auto"/>
              <w:right w:val="single" w:sz="4" w:space="0" w:color="auto"/>
            </w:tcBorders>
            <w:shd w:val="clear" w:color="auto" w:fill="E8E8E8"/>
            <w:noWrap/>
            <w:vAlign w:val="center"/>
            <w:hideMark/>
          </w:tcPr>
          <w:p w14:paraId="0CB76433" w14:textId="596ED303"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(391)</w:t>
            </w:r>
          </w:p>
        </w:tc>
        <w:tc>
          <w:tcPr>
            <w:tcW w:w="1314" w:type="dxa"/>
            <w:tcBorders>
              <w:top w:val="nil"/>
              <w:left w:val="single" w:sz="12" w:space="0" w:color="auto"/>
              <w:bottom w:val="single" w:sz="12" w:space="0" w:color="auto"/>
              <w:right w:val="single" w:sz="4" w:space="0" w:color="auto"/>
            </w:tcBorders>
            <w:shd w:val="clear" w:color="auto" w:fill="E8E8E8"/>
            <w:noWrap/>
            <w:vAlign w:val="center"/>
            <w:hideMark/>
          </w:tcPr>
          <w:p w14:paraId="728BA0B0" w14:textId="0BA209F6"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(759)</w:t>
            </w:r>
          </w:p>
        </w:tc>
        <w:tc>
          <w:tcPr>
            <w:tcW w:w="1335" w:type="dxa"/>
            <w:tcBorders>
              <w:top w:val="nil"/>
              <w:left w:val="single" w:sz="12" w:space="0" w:color="auto"/>
              <w:bottom w:val="single" w:sz="12" w:space="0" w:color="auto"/>
              <w:right w:val="single" w:sz="12" w:space="0" w:color="auto"/>
            </w:tcBorders>
            <w:shd w:val="clear" w:color="auto" w:fill="E8E8E8"/>
            <w:noWrap/>
            <w:vAlign w:val="center"/>
            <w:hideMark/>
          </w:tcPr>
          <w:p w14:paraId="71A06790" w14:textId="6264DD1C" w:rsidR="00750906" w:rsidRPr="00181FC3" w:rsidRDefault="00750906" w:rsidP="00750906">
            <w:pPr>
              <w:jc w:val="right"/>
              <w:rPr>
                <w:rFonts w:eastAsia="Times New Roman" w:cs="Times New Roman"/>
                <w:b/>
                <w:bCs/>
                <w:color w:val="000000"/>
                <w:kern w:val="0"/>
                <w:sz w:val="20"/>
                <w:szCs w:val="20"/>
                <w:lang w:eastAsia="en-GB"/>
                <w14:ligatures w14:val="none"/>
              </w:rPr>
            </w:pPr>
            <w:r>
              <w:rPr>
                <w:b/>
                <w:bCs/>
                <w:color w:val="000000"/>
                <w:sz w:val="20"/>
                <w:szCs w:val="20"/>
              </w:rPr>
              <w:t>(1,034)</w:t>
            </w:r>
          </w:p>
        </w:tc>
      </w:tr>
      <w:tr w:rsidR="00750906" w:rsidRPr="00181FC3" w14:paraId="4B080AA8" w14:textId="77777777">
        <w:trPr>
          <w:trHeight w:val="280"/>
        </w:trPr>
        <w:tc>
          <w:tcPr>
            <w:tcW w:w="1260" w:type="dxa"/>
            <w:tcBorders>
              <w:top w:val="single" w:sz="4" w:space="0" w:color="auto"/>
              <w:left w:val="single" w:sz="12" w:space="0" w:color="auto"/>
              <w:bottom w:val="single" w:sz="4" w:space="0" w:color="auto"/>
              <w:right w:val="single" w:sz="4" w:space="0" w:color="auto"/>
            </w:tcBorders>
            <w:noWrap/>
            <w:vAlign w:val="bottom"/>
            <w:hideMark/>
          </w:tcPr>
          <w:p w14:paraId="101AF0F3" w14:textId="661B6CE5"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(5,772) </w:t>
            </w:r>
          </w:p>
        </w:tc>
        <w:tc>
          <w:tcPr>
            <w:tcW w:w="3047" w:type="dxa"/>
            <w:tcBorders>
              <w:top w:val="single" w:sz="4" w:space="0" w:color="auto"/>
              <w:left w:val="single" w:sz="12" w:space="0" w:color="auto"/>
              <w:bottom w:val="single" w:sz="4" w:space="0" w:color="auto"/>
              <w:right w:val="single" w:sz="12" w:space="0" w:color="auto"/>
            </w:tcBorders>
            <w:shd w:val="clear" w:color="auto" w:fill="E8E8E8"/>
            <w:noWrap/>
            <w:vAlign w:val="bottom"/>
            <w:hideMark/>
          </w:tcPr>
          <w:p w14:paraId="749A638E" w14:textId="0B9689C5" w:rsidR="00750906" w:rsidRPr="00181FC3" w:rsidRDefault="00750906" w:rsidP="00750906">
            <w:pPr>
              <w:rPr>
                <w:rFonts w:eastAsia="Times New Roman" w:cs="Times New Roman"/>
                <w:b/>
                <w:bCs/>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Contribution from Reserves</w:t>
            </w:r>
          </w:p>
        </w:tc>
        <w:tc>
          <w:tcPr>
            <w:tcW w:w="1276" w:type="dxa"/>
            <w:tcBorders>
              <w:top w:val="single" w:sz="4" w:space="0" w:color="auto"/>
              <w:left w:val="nil"/>
              <w:bottom w:val="single" w:sz="4" w:space="0" w:color="auto"/>
              <w:right w:val="single" w:sz="4" w:space="0" w:color="auto"/>
            </w:tcBorders>
            <w:noWrap/>
            <w:vAlign w:val="center"/>
            <w:hideMark/>
          </w:tcPr>
          <w:p w14:paraId="61EA3126" w14:textId="591CA01B"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-2,497</w:t>
            </w:r>
          </w:p>
        </w:tc>
        <w:tc>
          <w:tcPr>
            <w:tcW w:w="1320" w:type="dxa"/>
            <w:tcBorders>
              <w:top w:val="single" w:sz="4" w:space="0" w:color="auto"/>
              <w:left w:val="single" w:sz="12" w:space="0" w:color="auto"/>
              <w:bottom w:val="single" w:sz="4" w:space="0" w:color="auto"/>
              <w:right w:val="single" w:sz="4" w:space="0" w:color="auto"/>
            </w:tcBorders>
            <w:noWrap/>
            <w:vAlign w:val="center"/>
            <w:hideMark/>
          </w:tcPr>
          <w:p w14:paraId="706C74AA" w14:textId="6C5EFD49"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-2,497</w:t>
            </w:r>
          </w:p>
        </w:tc>
        <w:tc>
          <w:tcPr>
            <w:tcW w:w="1314" w:type="dxa"/>
            <w:tcBorders>
              <w:top w:val="single" w:sz="4" w:space="0" w:color="auto"/>
              <w:left w:val="single" w:sz="12" w:space="0" w:color="auto"/>
              <w:bottom w:val="single" w:sz="4" w:space="0" w:color="auto"/>
              <w:right w:val="single" w:sz="4" w:space="0" w:color="auto"/>
            </w:tcBorders>
            <w:noWrap/>
            <w:vAlign w:val="center"/>
            <w:hideMark/>
          </w:tcPr>
          <w:p w14:paraId="0BC49340" w14:textId="7699D0D6"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-2,497</w:t>
            </w:r>
          </w:p>
        </w:tc>
        <w:tc>
          <w:tcPr>
            <w:tcW w:w="1335" w:type="dxa"/>
            <w:tcBorders>
              <w:top w:val="single" w:sz="4" w:space="0" w:color="auto"/>
              <w:left w:val="single" w:sz="12" w:space="0" w:color="auto"/>
              <w:bottom w:val="single" w:sz="4" w:space="0" w:color="auto"/>
              <w:right w:val="single" w:sz="12" w:space="0" w:color="auto"/>
            </w:tcBorders>
            <w:noWrap/>
            <w:vAlign w:val="center"/>
            <w:hideMark/>
          </w:tcPr>
          <w:p w14:paraId="0F51AA89" w14:textId="07200176"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-2,497</w:t>
            </w:r>
          </w:p>
        </w:tc>
      </w:tr>
      <w:tr w:rsidR="00750906" w:rsidRPr="00181FC3" w14:paraId="2E809E17" w14:textId="77777777">
        <w:trPr>
          <w:trHeight w:val="270"/>
        </w:trPr>
        <w:tc>
          <w:tcPr>
            <w:tcW w:w="1260" w:type="dxa"/>
            <w:tcBorders>
              <w:top w:val="nil"/>
              <w:left w:val="single" w:sz="12" w:space="0" w:color="auto"/>
              <w:bottom w:val="single" w:sz="4" w:space="0" w:color="auto"/>
              <w:right w:val="single" w:sz="4" w:space="0" w:color="auto"/>
            </w:tcBorders>
            <w:noWrap/>
            <w:vAlign w:val="bottom"/>
            <w:hideMark/>
          </w:tcPr>
          <w:p w14:paraId="0E8DB46A" w14:textId="697FB5AD" w:rsidR="00750906" w:rsidRPr="00181FC3" w:rsidRDefault="00750906" w:rsidP="00750906">
            <w:pPr>
              <w:jc w:val="right"/>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 xml:space="preserve">                     - </w:t>
            </w:r>
          </w:p>
        </w:tc>
        <w:tc>
          <w:tcPr>
            <w:tcW w:w="3047" w:type="dxa"/>
            <w:tcBorders>
              <w:top w:val="nil"/>
              <w:left w:val="single" w:sz="12" w:space="0" w:color="auto"/>
              <w:bottom w:val="single" w:sz="4" w:space="0" w:color="auto"/>
              <w:right w:val="single" w:sz="12" w:space="0" w:color="auto"/>
            </w:tcBorders>
            <w:shd w:val="clear" w:color="auto" w:fill="E8E8E8"/>
            <w:vAlign w:val="bottom"/>
            <w:hideMark/>
          </w:tcPr>
          <w:p w14:paraId="6D4EF0C4" w14:textId="6616739C" w:rsidR="00750906" w:rsidRPr="00181FC3" w:rsidRDefault="00750906" w:rsidP="00750906">
            <w:pPr>
              <w:rPr>
                <w:rFonts w:eastAsia="Times New Roman" w:cs="Times New Roman"/>
                <w:color w:val="000000"/>
                <w:kern w:val="0"/>
                <w:sz w:val="20"/>
                <w:szCs w:val="20"/>
                <w:lang w:eastAsia="en-GB"/>
                <w14:ligatures w14:val="none"/>
              </w:rPr>
            </w:pPr>
            <w:r w:rsidRPr="00181FC3">
              <w:rPr>
                <w:rFonts w:eastAsia="Times New Roman" w:cs="Times New Roman"/>
                <w:color w:val="000000"/>
                <w:kern w:val="0"/>
                <w:sz w:val="20"/>
                <w:szCs w:val="20"/>
                <w:lang w:eastAsia="en-GB"/>
                <w14:ligatures w14:val="none"/>
              </w:rPr>
              <w:t>Contribution To Reserves</w:t>
            </w:r>
          </w:p>
        </w:tc>
        <w:tc>
          <w:tcPr>
            <w:tcW w:w="1276" w:type="dxa"/>
            <w:tcBorders>
              <w:top w:val="nil"/>
              <w:left w:val="nil"/>
              <w:bottom w:val="single" w:sz="4" w:space="0" w:color="auto"/>
              <w:right w:val="single" w:sz="4" w:space="0" w:color="auto"/>
            </w:tcBorders>
            <w:noWrap/>
            <w:vAlign w:val="center"/>
            <w:hideMark/>
          </w:tcPr>
          <w:p w14:paraId="08777A21" w14:textId="71846E02"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4,077</w:t>
            </w:r>
          </w:p>
        </w:tc>
        <w:tc>
          <w:tcPr>
            <w:tcW w:w="1320" w:type="dxa"/>
            <w:tcBorders>
              <w:top w:val="nil"/>
              <w:left w:val="single" w:sz="12" w:space="0" w:color="auto"/>
              <w:bottom w:val="single" w:sz="4" w:space="0" w:color="auto"/>
              <w:right w:val="single" w:sz="4" w:space="0" w:color="auto"/>
            </w:tcBorders>
            <w:noWrap/>
            <w:vAlign w:val="center"/>
            <w:hideMark/>
          </w:tcPr>
          <w:p w14:paraId="6A94FF41" w14:textId="5BD76BBF"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2,888</w:t>
            </w:r>
          </w:p>
        </w:tc>
        <w:tc>
          <w:tcPr>
            <w:tcW w:w="1314" w:type="dxa"/>
            <w:tcBorders>
              <w:top w:val="nil"/>
              <w:left w:val="single" w:sz="12" w:space="0" w:color="auto"/>
              <w:bottom w:val="single" w:sz="4" w:space="0" w:color="auto"/>
              <w:right w:val="single" w:sz="4" w:space="0" w:color="auto"/>
            </w:tcBorders>
            <w:noWrap/>
            <w:vAlign w:val="center"/>
            <w:hideMark/>
          </w:tcPr>
          <w:p w14:paraId="71115473" w14:textId="1FF03BA9"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3,256</w:t>
            </w:r>
          </w:p>
        </w:tc>
        <w:tc>
          <w:tcPr>
            <w:tcW w:w="1335" w:type="dxa"/>
            <w:tcBorders>
              <w:top w:val="nil"/>
              <w:left w:val="single" w:sz="12" w:space="0" w:color="auto"/>
              <w:bottom w:val="single" w:sz="4" w:space="0" w:color="auto"/>
              <w:right w:val="single" w:sz="12" w:space="0" w:color="auto"/>
            </w:tcBorders>
            <w:noWrap/>
            <w:vAlign w:val="center"/>
            <w:hideMark/>
          </w:tcPr>
          <w:p w14:paraId="40E1B8F0" w14:textId="1393A0B8" w:rsidR="00750906" w:rsidRPr="00181FC3" w:rsidRDefault="00750906" w:rsidP="00750906">
            <w:pPr>
              <w:jc w:val="right"/>
              <w:rPr>
                <w:rFonts w:eastAsia="Times New Roman" w:cs="Times New Roman"/>
                <w:color w:val="000000"/>
                <w:kern w:val="0"/>
                <w:sz w:val="20"/>
                <w:szCs w:val="20"/>
                <w:lang w:eastAsia="en-GB"/>
                <w14:ligatures w14:val="none"/>
              </w:rPr>
            </w:pPr>
            <w:r>
              <w:rPr>
                <w:color w:val="000000"/>
                <w:sz w:val="20"/>
                <w:szCs w:val="20"/>
              </w:rPr>
              <w:t>3,531</w:t>
            </w:r>
          </w:p>
        </w:tc>
      </w:tr>
      <w:tr w:rsidR="00750906" w:rsidRPr="00181FC3" w14:paraId="32369535" w14:textId="77777777" w:rsidTr="7DC21327">
        <w:trPr>
          <w:trHeight w:val="270"/>
        </w:trPr>
        <w:tc>
          <w:tcPr>
            <w:tcW w:w="126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42D42DC" w14:textId="5B5F1CD6" w:rsidR="00750906" w:rsidRPr="00181FC3" w:rsidRDefault="00750906" w:rsidP="00750906">
            <w:pPr>
              <w:jc w:val="center"/>
              <w:rPr>
                <w:rFonts w:eastAsia="Times New Roman" w:cs="Times New Roman"/>
                <w:b/>
                <w:bCs/>
                <w:sz w:val="20"/>
                <w:szCs w:val="20"/>
                <w:lang w:eastAsia="en-GB"/>
              </w:rPr>
            </w:pPr>
            <w:r w:rsidRPr="2712E15D">
              <w:rPr>
                <w:rFonts w:eastAsia="Times New Roman" w:cs="Times New Roman"/>
                <w:b/>
                <w:bCs/>
                <w:sz w:val="20"/>
                <w:szCs w:val="20"/>
                <w:lang w:eastAsia="en-GB"/>
              </w:rPr>
              <w:t xml:space="preserve">- </w:t>
            </w:r>
          </w:p>
          <w:p w14:paraId="173D9619" w14:textId="6C60D905" w:rsidR="00750906" w:rsidRPr="00181FC3" w:rsidRDefault="00750906" w:rsidP="00750906">
            <w:pPr>
              <w:jc w:val="right"/>
              <w:rPr>
                <w:rFonts w:eastAsia="Times New Roman" w:cs="Times New Roman"/>
                <w:b/>
                <w:bCs/>
                <w:color w:val="000000"/>
                <w:kern w:val="0"/>
                <w:sz w:val="20"/>
                <w:szCs w:val="20"/>
                <w:lang w:eastAsia="en-GB"/>
                <w14:ligatures w14:val="none"/>
              </w:rPr>
            </w:pPr>
          </w:p>
        </w:tc>
        <w:tc>
          <w:tcPr>
            <w:tcW w:w="3047" w:type="dxa"/>
            <w:tcBorders>
              <w:top w:val="single" w:sz="12" w:space="0" w:color="auto"/>
              <w:left w:val="single" w:sz="12" w:space="0" w:color="auto"/>
              <w:bottom w:val="single" w:sz="12" w:space="0" w:color="auto"/>
              <w:right w:val="single" w:sz="12" w:space="0" w:color="auto"/>
            </w:tcBorders>
            <w:shd w:val="clear" w:color="auto" w:fill="E8E8E8"/>
            <w:vAlign w:val="bottom"/>
            <w:hideMark/>
          </w:tcPr>
          <w:p w14:paraId="30B40A56" w14:textId="6C1C40A3" w:rsidR="00750906" w:rsidRPr="00181FC3" w:rsidRDefault="00750906" w:rsidP="00750906">
            <w:pPr>
              <w:rPr>
                <w:rFonts w:eastAsia="Times New Roman" w:cs="Times New Roman"/>
                <w:b/>
                <w:bCs/>
                <w:color w:val="000000"/>
                <w:kern w:val="0"/>
                <w:sz w:val="20"/>
                <w:szCs w:val="20"/>
                <w:lang w:eastAsia="en-GB"/>
                <w14:ligatures w14:val="none"/>
              </w:rPr>
            </w:pPr>
            <w:r w:rsidRPr="00181FC3">
              <w:rPr>
                <w:rFonts w:eastAsia="Times New Roman" w:cs="Times New Roman"/>
                <w:b/>
                <w:bCs/>
                <w:color w:val="000000"/>
                <w:kern w:val="0"/>
                <w:sz w:val="20"/>
                <w:szCs w:val="20"/>
                <w:lang w:eastAsia="en-GB"/>
                <w14:ligatures w14:val="none"/>
              </w:rPr>
              <w:t>Net Expenditure after Contribution to/(</w:t>
            </w:r>
            <w:r w:rsidRPr="0046422C">
              <w:rPr>
                <w:rFonts w:eastAsia="Times New Roman" w:cs="Times New Roman"/>
                <w:b/>
                <w:bCs/>
                <w:color w:val="000000"/>
                <w:kern w:val="0"/>
                <w:sz w:val="20"/>
                <w:szCs w:val="20"/>
                <w:lang w:eastAsia="en-GB"/>
                <w14:ligatures w14:val="none"/>
              </w:rPr>
              <w:t>From) Reserves</w:t>
            </w:r>
          </w:p>
        </w:tc>
        <w:tc>
          <w:tcPr>
            <w:tcW w:w="1276" w:type="dxa"/>
            <w:tcBorders>
              <w:top w:val="single" w:sz="12" w:space="0" w:color="auto"/>
              <w:left w:val="nil"/>
              <w:bottom w:val="single" w:sz="12" w:space="0" w:color="auto"/>
              <w:right w:val="single" w:sz="4" w:space="0" w:color="auto"/>
            </w:tcBorders>
            <w:shd w:val="clear" w:color="auto" w:fill="E8E8E8"/>
            <w:noWrap/>
            <w:vAlign w:val="center"/>
            <w:hideMark/>
          </w:tcPr>
          <w:p w14:paraId="05FD4323" w14:textId="73D52BB9" w:rsidR="00750906" w:rsidRPr="00181FC3" w:rsidRDefault="00750906" w:rsidP="00750906">
            <w:pPr>
              <w:jc w:val="center"/>
              <w:rPr>
                <w:rFonts w:eastAsia="Times New Roman" w:cs="Times New Roman"/>
                <w:b/>
                <w:bCs/>
                <w:color w:val="000000"/>
                <w:kern w:val="0"/>
                <w:sz w:val="20"/>
                <w:szCs w:val="20"/>
                <w:lang w:eastAsia="en-GB"/>
                <w14:ligatures w14:val="none"/>
              </w:rPr>
            </w:pPr>
            <w:r>
              <w:rPr>
                <w:b/>
                <w:bCs/>
                <w:color w:val="000000"/>
                <w:sz w:val="20"/>
                <w:szCs w:val="20"/>
              </w:rPr>
              <w:t>-</w:t>
            </w:r>
          </w:p>
        </w:tc>
        <w:tc>
          <w:tcPr>
            <w:tcW w:w="1320"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60054A8A" w14:textId="6A78FCF7" w:rsidR="00750906" w:rsidRPr="00181FC3" w:rsidRDefault="00750906" w:rsidP="00750906">
            <w:pPr>
              <w:jc w:val="center"/>
              <w:rPr>
                <w:rFonts w:eastAsia="Times New Roman" w:cs="Times New Roman"/>
                <w:b/>
                <w:bCs/>
                <w:color w:val="000000"/>
                <w:kern w:val="0"/>
                <w:sz w:val="20"/>
                <w:szCs w:val="20"/>
                <w:lang w:eastAsia="en-GB"/>
                <w14:ligatures w14:val="none"/>
              </w:rPr>
            </w:pPr>
            <w:r>
              <w:rPr>
                <w:b/>
                <w:bCs/>
                <w:color w:val="000000"/>
                <w:sz w:val="20"/>
                <w:szCs w:val="20"/>
              </w:rPr>
              <w:t>-</w:t>
            </w:r>
          </w:p>
        </w:tc>
        <w:tc>
          <w:tcPr>
            <w:tcW w:w="1314"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46096C25" w14:textId="3E8D71E3" w:rsidR="00750906" w:rsidRPr="00181FC3" w:rsidRDefault="00750906" w:rsidP="00750906">
            <w:pPr>
              <w:jc w:val="center"/>
              <w:rPr>
                <w:rFonts w:eastAsia="Times New Roman" w:cs="Times New Roman"/>
                <w:b/>
                <w:bCs/>
                <w:color w:val="000000"/>
                <w:kern w:val="0"/>
                <w:sz w:val="20"/>
                <w:szCs w:val="20"/>
                <w:lang w:eastAsia="en-GB"/>
                <w14:ligatures w14:val="none"/>
              </w:rPr>
            </w:pPr>
            <w:r>
              <w:rPr>
                <w:b/>
                <w:bCs/>
                <w:color w:val="000000"/>
                <w:sz w:val="20"/>
                <w:szCs w:val="20"/>
              </w:rPr>
              <w:t>-</w:t>
            </w:r>
          </w:p>
        </w:tc>
        <w:tc>
          <w:tcPr>
            <w:tcW w:w="1335"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7286A360" w14:textId="5356E95B" w:rsidR="00750906" w:rsidRPr="00181FC3" w:rsidRDefault="00750906" w:rsidP="00750906">
            <w:pPr>
              <w:jc w:val="center"/>
              <w:rPr>
                <w:rFonts w:eastAsia="Times New Roman" w:cs="Times New Roman"/>
                <w:b/>
                <w:bCs/>
                <w:color w:val="000000"/>
                <w:kern w:val="0"/>
                <w:sz w:val="20"/>
                <w:szCs w:val="20"/>
                <w:lang w:eastAsia="en-GB"/>
                <w14:ligatures w14:val="none"/>
              </w:rPr>
            </w:pPr>
            <w:r>
              <w:rPr>
                <w:b/>
                <w:bCs/>
                <w:color w:val="000000"/>
                <w:sz w:val="20"/>
                <w:szCs w:val="20"/>
              </w:rPr>
              <w:t>-</w:t>
            </w:r>
          </w:p>
        </w:tc>
      </w:tr>
    </w:tbl>
    <w:p w14:paraId="6A59AD66" w14:textId="77777777" w:rsidR="007C113D" w:rsidRDefault="007C113D" w:rsidP="00A60F4C">
      <w:pPr>
        <w:pStyle w:val="ListParagraph"/>
        <w:spacing w:line="276" w:lineRule="auto"/>
        <w:ind w:left="360"/>
        <w:jc w:val="center"/>
        <w:rPr>
          <w:rFonts w:ascii="Inter" w:hAnsi="Inter" w:cs="Arial"/>
          <w:b/>
          <w:bCs/>
        </w:rPr>
      </w:pPr>
    </w:p>
    <w:p w14:paraId="08CCB7A2" w14:textId="77777777" w:rsidR="00181FC3" w:rsidRDefault="00181FC3" w:rsidP="00A60F4C">
      <w:pPr>
        <w:pStyle w:val="ListParagraph"/>
        <w:spacing w:line="276" w:lineRule="auto"/>
        <w:ind w:left="360"/>
        <w:jc w:val="center"/>
        <w:rPr>
          <w:rFonts w:ascii="Inter" w:hAnsi="Inter" w:cs="Arial"/>
          <w:b/>
          <w:bCs/>
        </w:rPr>
      </w:pPr>
    </w:p>
    <w:p w14:paraId="0DB25A10" w14:textId="77777777" w:rsidR="00164A7A" w:rsidRPr="009D7A02" w:rsidRDefault="00164A7A" w:rsidP="00A55302">
      <w:pPr>
        <w:spacing w:line="276" w:lineRule="auto"/>
        <w:ind w:left="567" w:hanging="567"/>
        <w:rPr>
          <w:rFonts w:ascii="Inter" w:hAnsi="Inter" w:cs="Arial"/>
          <w:b/>
          <w:bCs/>
        </w:rPr>
      </w:pPr>
    </w:p>
    <w:p w14:paraId="06C5DB23" w14:textId="77777777" w:rsidR="00D06EAE" w:rsidRPr="00A55302" w:rsidRDefault="00D06EAE" w:rsidP="00A55302">
      <w:pPr>
        <w:spacing w:line="276" w:lineRule="auto"/>
        <w:rPr>
          <w:rFonts w:ascii="Inter" w:hAnsi="Inter" w:cs="Arial"/>
          <w:b/>
          <w:bCs/>
        </w:rPr>
      </w:pPr>
      <w:r w:rsidRPr="41590B60">
        <w:rPr>
          <w:rFonts w:ascii="Inter" w:hAnsi="Inter" w:cs="Arial"/>
          <w:b/>
          <w:bCs/>
        </w:rPr>
        <w:t>DRAFT COMBINED AUTHORITY REVENUE BUDGET 2026/27</w:t>
      </w:r>
    </w:p>
    <w:p w14:paraId="0713385C" w14:textId="3439818D" w:rsidR="64D2AD41" w:rsidRPr="009D7A02" w:rsidRDefault="64D2AD41" w:rsidP="64D2AD41">
      <w:pPr>
        <w:pStyle w:val="ListParagraph"/>
        <w:spacing w:line="276" w:lineRule="auto"/>
        <w:ind w:left="567" w:hanging="567"/>
        <w:rPr>
          <w:rFonts w:ascii="Inter" w:hAnsi="Inter" w:cs="Arial"/>
          <w:b/>
          <w:bCs/>
        </w:rPr>
      </w:pPr>
    </w:p>
    <w:p w14:paraId="244A7EC2" w14:textId="29724551"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 xml:space="preserve">In setting their annual budgets, it is common practice </w:t>
      </w:r>
      <w:r w:rsidR="00BC3F86" w:rsidRPr="2DFE4DF5">
        <w:rPr>
          <w:rFonts w:ascii="Inter" w:hAnsi="Inter" w:cs="Arial"/>
        </w:rPr>
        <w:t>for authorities</w:t>
      </w:r>
      <w:r w:rsidRPr="2DFE4DF5">
        <w:rPr>
          <w:rFonts w:ascii="Inter" w:hAnsi="Inter" w:cs="Arial"/>
        </w:rPr>
        <w:t xml:space="preserve"> to adopt an incremental approach to budget setting.  This approach takes the current year base budget, rolls that budget forward and then adjustments are made to take account</w:t>
      </w:r>
      <w:r w:rsidR="1A6CD77D" w:rsidRPr="2DFE4DF5">
        <w:rPr>
          <w:rFonts w:ascii="Inter" w:hAnsi="Inter" w:cs="Arial"/>
        </w:rPr>
        <w:t xml:space="preserve"> of </w:t>
      </w:r>
      <w:r w:rsidRPr="2DFE4DF5">
        <w:rPr>
          <w:rFonts w:ascii="Inter" w:hAnsi="Inter" w:cs="Arial"/>
        </w:rPr>
        <w:t>known changes.</w:t>
      </w:r>
      <w:r w:rsidR="346350AD" w:rsidRPr="2DFE4DF5">
        <w:rPr>
          <w:rFonts w:ascii="Inter" w:hAnsi="Inter" w:cs="Arial"/>
        </w:rPr>
        <w:t xml:space="preserve">  </w:t>
      </w:r>
      <w:r w:rsidRPr="2DFE4DF5">
        <w:rPr>
          <w:rFonts w:ascii="Inter" w:hAnsi="Inter" w:cs="Arial"/>
        </w:rPr>
        <w:t xml:space="preserve">These changes could be the removal of one-off expenditure and </w:t>
      </w:r>
      <w:r w:rsidRPr="2DFE4DF5">
        <w:rPr>
          <w:rFonts w:ascii="Inter" w:hAnsi="Inter" w:cs="Arial"/>
        </w:rPr>
        <w:lastRenderedPageBreak/>
        <w:t>income budgets, adjustments for indexation and inflation e.g. pay award and the inclusion of additional income streams and/or corresponding expenditure streams.</w:t>
      </w:r>
    </w:p>
    <w:p w14:paraId="58ED934B" w14:textId="77777777" w:rsidR="00D06EAE" w:rsidRPr="009D7A02" w:rsidRDefault="00D06EAE" w:rsidP="00A55302">
      <w:pPr>
        <w:pStyle w:val="ListParagraph"/>
        <w:spacing w:line="276" w:lineRule="auto"/>
        <w:ind w:left="567" w:hanging="567"/>
        <w:rPr>
          <w:rFonts w:ascii="Inter" w:hAnsi="Inter" w:cs="Arial"/>
        </w:rPr>
      </w:pPr>
    </w:p>
    <w:p w14:paraId="2D3894A4" w14:textId="77777777"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Another approach that can be adopted is a zero-based methodology whereby budgets are built from scratch with close working between the services and Finance.</w:t>
      </w:r>
    </w:p>
    <w:p w14:paraId="6EAB1CBC" w14:textId="77777777" w:rsidR="00D06EAE" w:rsidRPr="009D7A02" w:rsidRDefault="00D06EAE" w:rsidP="00A55302">
      <w:pPr>
        <w:pStyle w:val="ListParagraph"/>
        <w:spacing w:line="276" w:lineRule="auto"/>
        <w:ind w:left="567" w:hanging="567"/>
        <w:rPr>
          <w:rFonts w:ascii="Inter" w:hAnsi="Inter" w:cs="Arial"/>
        </w:rPr>
      </w:pPr>
    </w:p>
    <w:p w14:paraId="357A4B3D" w14:textId="77777777"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As has been reported through the quarterly budget monitoring, there was very little granular level of detail in the 2025/26 budgets, with high-level information contained in a budget workbook and budgets not contained within the Finance system.</w:t>
      </w:r>
    </w:p>
    <w:p w14:paraId="2FA52F37" w14:textId="77777777" w:rsidR="00D06EAE" w:rsidRPr="009D7A02" w:rsidRDefault="00D06EAE" w:rsidP="00A55302">
      <w:pPr>
        <w:pStyle w:val="ListParagraph"/>
        <w:spacing w:line="276" w:lineRule="auto"/>
        <w:ind w:left="567" w:hanging="567"/>
        <w:rPr>
          <w:rFonts w:ascii="Inter" w:hAnsi="Inter" w:cs="Arial"/>
        </w:rPr>
      </w:pPr>
    </w:p>
    <w:p w14:paraId="6F111277" w14:textId="191AF96C"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A significant project is being undertaken during 2025/26 to</w:t>
      </w:r>
      <w:r w:rsidR="3F5055D6" w:rsidRPr="2DFE4DF5">
        <w:rPr>
          <w:rFonts w:ascii="Inter" w:hAnsi="Inter" w:cs="Arial"/>
        </w:rPr>
        <w:t>,</w:t>
      </w:r>
      <w:r w:rsidRPr="2DFE4DF5">
        <w:rPr>
          <w:rFonts w:ascii="Inter" w:hAnsi="Inter" w:cs="Arial"/>
        </w:rPr>
        <w:t xml:space="preserve"> not only break down the high-level workbook</w:t>
      </w:r>
      <w:r w:rsidR="7A29F78F" w:rsidRPr="2DFE4DF5">
        <w:rPr>
          <w:rFonts w:ascii="Inter" w:hAnsi="Inter" w:cs="Arial"/>
        </w:rPr>
        <w:t>,</w:t>
      </w:r>
      <w:r w:rsidRPr="2DFE4DF5">
        <w:rPr>
          <w:rFonts w:ascii="Inter" w:hAnsi="Inter" w:cs="Arial"/>
        </w:rPr>
        <w:t xml:space="preserve"> but also to ensure that those budgets are then entered into the finance system ledgers in an appropriate coding structure.  Whilst this work is substantially complete for the revenue budgets, further work will be carried out in the last quarter of 2025/26 to conclude the work on the capital budgets.</w:t>
      </w:r>
    </w:p>
    <w:p w14:paraId="7CFE55FD" w14:textId="3869832E" w:rsidR="00D06EAE" w:rsidRPr="009D7A02" w:rsidRDefault="00D06EAE" w:rsidP="00A55302">
      <w:pPr>
        <w:pStyle w:val="ListParagraph"/>
        <w:spacing w:line="276" w:lineRule="auto"/>
        <w:ind w:left="567" w:hanging="567"/>
        <w:rPr>
          <w:rFonts w:ascii="Inter" w:hAnsi="Inter" w:cs="Arial"/>
        </w:rPr>
      </w:pPr>
    </w:p>
    <w:p w14:paraId="4435C75E" w14:textId="239090BF"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 xml:space="preserve">For 2026/27, budget setting has built on the work carried out </w:t>
      </w:r>
      <w:r w:rsidR="00DA4032">
        <w:rPr>
          <w:rFonts w:ascii="Inter" w:hAnsi="Inter" w:cs="Arial"/>
        </w:rPr>
        <w:t>i</w:t>
      </w:r>
      <w:r w:rsidRPr="2DFE4DF5">
        <w:rPr>
          <w:rFonts w:ascii="Inter" w:hAnsi="Inter" w:cs="Arial"/>
        </w:rPr>
        <w:t>n 2025/26 and a hybrid approach has been adopted in setting the budget with a mixture of rolled forward budget where available and re-based approach where there was limited budget detail.</w:t>
      </w:r>
    </w:p>
    <w:p w14:paraId="5E2E2FBF" w14:textId="77777777" w:rsidR="00D06EAE" w:rsidRPr="009D7A02" w:rsidRDefault="00D06EAE" w:rsidP="00A55302">
      <w:pPr>
        <w:pStyle w:val="ListParagraph"/>
        <w:spacing w:line="276" w:lineRule="auto"/>
        <w:ind w:left="567" w:hanging="567"/>
        <w:rPr>
          <w:rFonts w:ascii="Inter" w:hAnsi="Inter" w:cs="Arial"/>
        </w:rPr>
      </w:pPr>
    </w:p>
    <w:p w14:paraId="2CEAA0FB" w14:textId="7C7CC2E2"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 xml:space="preserve">The Combined Authority revenue budgets are relatively simple with the main elements being staffing costs, overheads and costs/income related to borrowing.  Funding comprises core Devolution monies, Mayoral Capacity Fund grant and then specific grant income where the Authority has been successful in securing an allocation.  Grant expenditure will then match grant income with any unused </w:t>
      </w:r>
      <w:r w:rsidR="22C708AC" w:rsidRPr="2DFE4DF5">
        <w:rPr>
          <w:rFonts w:ascii="Inter" w:hAnsi="Inter" w:cs="Arial"/>
        </w:rPr>
        <w:t xml:space="preserve">grant </w:t>
      </w:r>
      <w:r w:rsidRPr="2DFE4DF5">
        <w:rPr>
          <w:rFonts w:ascii="Inter" w:hAnsi="Inter" w:cs="Arial"/>
        </w:rPr>
        <w:t>either being returned to central government or transferred.</w:t>
      </w:r>
    </w:p>
    <w:p w14:paraId="402E9AEB" w14:textId="77777777" w:rsidR="00D06EAE" w:rsidRPr="009D7A02" w:rsidRDefault="00D06EAE" w:rsidP="00A55302">
      <w:pPr>
        <w:pStyle w:val="ListParagraph"/>
        <w:spacing w:line="276" w:lineRule="auto"/>
        <w:ind w:left="567" w:hanging="567"/>
        <w:rPr>
          <w:rFonts w:ascii="Inter" w:hAnsi="Inter" w:cs="Arial"/>
        </w:rPr>
      </w:pPr>
    </w:p>
    <w:p w14:paraId="56FA0C20" w14:textId="77777777"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However, one element of complexity relates to the recharging of support staff and overheads to revenue grants.   Within their terms and conditions, specific government grants ordinarily permit an element of top-slicing of the grant as a contribution towards administration of the grant or allow an element to be applied based on a reasonable methodology.</w:t>
      </w:r>
    </w:p>
    <w:p w14:paraId="51B010E6" w14:textId="77777777" w:rsidR="00D06EAE" w:rsidRPr="009D7A02" w:rsidRDefault="00D06EAE" w:rsidP="00A55302">
      <w:pPr>
        <w:pStyle w:val="ListParagraph"/>
        <w:spacing w:line="276" w:lineRule="auto"/>
        <w:ind w:left="567" w:hanging="567"/>
        <w:rPr>
          <w:rFonts w:ascii="Inter" w:hAnsi="Inter" w:cs="Arial"/>
        </w:rPr>
      </w:pPr>
    </w:p>
    <w:p w14:paraId="3B2EED3F" w14:textId="5D9B0614" w:rsidR="00D06EAE" w:rsidRPr="009D7A02" w:rsidRDefault="00D06EAE" w:rsidP="2DFE4DF5">
      <w:pPr>
        <w:pStyle w:val="ListParagraph"/>
        <w:numPr>
          <w:ilvl w:val="0"/>
          <w:numId w:val="4"/>
        </w:numPr>
        <w:spacing w:line="276" w:lineRule="auto"/>
        <w:ind w:left="567" w:hanging="567"/>
        <w:rPr>
          <w:rFonts w:ascii="Inter" w:hAnsi="Inter" w:cs="Arial"/>
        </w:rPr>
      </w:pPr>
      <w:r w:rsidRPr="2DFE4DF5">
        <w:rPr>
          <w:rFonts w:ascii="Inter" w:hAnsi="Inter" w:cs="Arial"/>
        </w:rPr>
        <w:t>For 2026/27, a project has also been undertaken to look at how TVCA charges support services and overheads to grants.  A comprehensive methodology has now been formulated working closely with directors and this will now form the basis for recharges to grants going forward</w:t>
      </w:r>
      <w:r w:rsidR="222F3750" w:rsidRPr="2DFE4DF5">
        <w:rPr>
          <w:rFonts w:ascii="Inter" w:hAnsi="Inter" w:cs="Arial"/>
        </w:rPr>
        <w:t xml:space="preserve"> approach</w:t>
      </w:r>
      <w:r w:rsidRPr="2DFE4DF5">
        <w:rPr>
          <w:rFonts w:ascii="Inter" w:hAnsi="Inter" w:cs="Arial"/>
        </w:rPr>
        <w:t>.</w:t>
      </w:r>
    </w:p>
    <w:p w14:paraId="248E0DB8" w14:textId="2A56B847" w:rsidR="16FD5590" w:rsidRPr="009D7A02" w:rsidRDefault="16FD5590" w:rsidP="00A55302">
      <w:pPr>
        <w:pStyle w:val="ListParagraph"/>
        <w:spacing w:line="276" w:lineRule="auto"/>
        <w:ind w:left="567" w:hanging="567"/>
        <w:rPr>
          <w:rFonts w:ascii="Inter" w:hAnsi="Inter" w:cs="Arial"/>
        </w:rPr>
      </w:pPr>
    </w:p>
    <w:p w14:paraId="25C1C211" w14:textId="538D91BB" w:rsidR="59DBC299" w:rsidRPr="009D7A02" w:rsidRDefault="59DBC299" w:rsidP="2DFE4DF5">
      <w:pPr>
        <w:pStyle w:val="ListParagraph"/>
        <w:numPr>
          <w:ilvl w:val="0"/>
          <w:numId w:val="4"/>
        </w:numPr>
        <w:spacing w:line="276" w:lineRule="auto"/>
        <w:ind w:left="567" w:hanging="567"/>
        <w:rPr>
          <w:rFonts w:ascii="Inter" w:hAnsi="Inter" w:cs="Arial"/>
        </w:rPr>
      </w:pPr>
      <w:r w:rsidRPr="2DFE4DF5">
        <w:rPr>
          <w:rFonts w:ascii="Inter" w:hAnsi="Inter" w:cs="Arial"/>
        </w:rPr>
        <w:lastRenderedPageBreak/>
        <w:t xml:space="preserve">This is termed the central services recharge mechanism </w:t>
      </w:r>
      <w:r w:rsidR="7064729E" w:rsidRPr="2DFE4DF5">
        <w:rPr>
          <w:rFonts w:ascii="Inter" w:hAnsi="Inter" w:cs="Arial"/>
        </w:rPr>
        <w:t>(CSR)</w:t>
      </w:r>
      <w:r w:rsidRPr="2DFE4DF5">
        <w:rPr>
          <w:rFonts w:ascii="Inter" w:hAnsi="Inter" w:cs="Arial"/>
        </w:rPr>
        <w:t xml:space="preserve"> and pragmatically reflects the drivers of support service costs and apportions the cost of delivering these support services in line with the following</w:t>
      </w:r>
      <w:r w:rsidR="00224565">
        <w:rPr>
          <w:rFonts w:ascii="Inter" w:hAnsi="Inter" w:cs="Arial"/>
        </w:rPr>
        <w:t xml:space="preserve"> approach.</w:t>
      </w:r>
    </w:p>
    <w:p w14:paraId="6AD19341" w14:textId="77777777" w:rsidR="16FD5590" w:rsidRPr="009D7A02" w:rsidRDefault="16FD5590" w:rsidP="00A55302">
      <w:pPr>
        <w:pStyle w:val="ListParagraph"/>
        <w:spacing w:line="276" w:lineRule="auto"/>
        <w:ind w:left="567" w:right="140" w:hanging="567"/>
        <w:rPr>
          <w:rFonts w:ascii="Inter" w:hAnsi="Inter" w:cs="Arial"/>
        </w:rPr>
      </w:pPr>
    </w:p>
    <w:p w14:paraId="549E95F9" w14:textId="4262DBDA" w:rsidR="59DBC299" w:rsidRDefault="59DBC299"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Where detailed records are recorded such as legal services and procurement - costs are allocated to projects based on actual activity.</w:t>
      </w:r>
      <w:r w:rsidR="0643B517" w:rsidRPr="2DFE4DF5">
        <w:rPr>
          <w:rFonts w:ascii="Inter" w:hAnsi="Inter" w:cs="Arial"/>
        </w:rPr>
        <w:t xml:space="preserve">  </w:t>
      </w:r>
      <w:r w:rsidRPr="2DFE4DF5">
        <w:rPr>
          <w:rFonts w:ascii="Inter" w:hAnsi="Inter" w:cs="Arial"/>
        </w:rPr>
        <w:t>Where service teams maintain records or provide data on the areas where relevant staff have supported the grant work, the costs are apportioned on service information.</w:t>
      </w:r>
    </w:p>
    <w:p w14:paraId="08959A60" w14:textId="77777777" w:rsidR="00A55302" w:rsidRPr="00A55302" w:rsidRDefault="00A55302" w:rsidP="00A55302">
      <w:pPr>
        <w:spacing w:line="276" w:lineRule="auto"/>
        <w:ind w:right="140"/>
        <w:rPr>
          <w:rFonts w:ascii="Inter" w:hAnsi="Inter" w:cs="Arial"/>
        </w:rPr>
      </w:pPr>
    </w:p>
    <w:p w14:paraId="2B76B9F0" w14:textId="77777777" w:rsidR="00C978BC" w:rsidRDefault="59DBC299" w:rsidP="00724DF2">
      <w:pPr>
        <w:pStyle w:val="ListParagraph"/>
        <w:numPr>
          <w:ilvl w:val="0"/>
          <w:numId w:val="18"/>
        </w:numPr>
        <w:spacing w:line="276" w:lineRule="auto"/>
        <w:ind w:right="140"/>
        <w:rPr>
          <w:rFonts w:ascii="Inter" w:hAnsi="Inter" w:cs="Arial"/>
        </w:rPr>
      </w:pPr>
      <w:r w:rsidRPr="2DFE4DF5">
        <w:rPr>
          <w:rFonts w:ascii="Inter" w:hAnsi="Inter" w:cs="Arial"/>
        </w:rPr>
        <w:t>In other areas such as finance – other information such as gross budget is used as a pragmatic methodology for apportioning costs.</w:t>
      </w:r>
    </w:p>
    <w:p w14:paraId="07625487" w14:textId="77777777" w:rsidR="004B5CE5" w:rsidRDefault="004B5CE5" w:rsidP="00A71E3D">
      <w:pPr>
        <w:spacing w:line="276" w:lineRule="auto"/>
        <w:ind w:right="140"/>
        <w:rPr>
          <w:rFonts w:ascii="Inter" w:hAnsi="Inter" w:cs="Arial"/>
          <w:b/>
          <w:bCs/>
        </w:rPr>
      </w:pPr>
    </w:p>
    <w:p w14:paraId="7A854EE0" w14:textId="62F3F8C5" w:rsidR="6547C4F2" w:rsidRDefault="6547C4F2" w:rsidP="6547C4F2">
      <w:pPr>
        <w:spacing w:line="276" w:lineRule="auto"/>
        <w:ind w:right="140"/>
        <w:rPr>
          <w:rFonts w:ascii="Inter" w:hAnsi="Inter" w:cs="Arial"/>
          <w:b/>
          <w:bCs/>
        </w:rPr>
      </w:pPr>
    </w:p>
    <w:p w14:paraId="1654D04F" w14:textId="77777777" w:rsidR="00522565" w:rsidRDefault="00522565" w:rsidP="6547C4F2">
      <w:pPr>
        <w:spacing w:line="276" w:lineRule="auto"/>
        <w:ind w:right="140"/>
        <w:rPr>
          <w:rFonts w:ascii="Inter" w:hAnsi="Inter" w:cs="Arial"/>
          <w:b/>
          <w:bCs/>
        </w:rPr>
      </w:pPr>
    </w:p>
    <w:p w14:paraId="61C01209" w14:textId="4C90A6C0" w:rsidR="00A71E3D" w:rsidRDefault="00532AA3" w:rsidP="00A71E3D">
      <w:pPr>
        <w:spacing w:line="276" w:lineRule="auto"/>
        <w:ind w:right="140"/>
        <w:rPr>
          <w:rFonts w:ascii="Inter" w:hAnsi="Inter" w:cs="Arial"/>
          <w:b/>
          <w:bCs/>
        </w:rPr>
      </w:pPr>
      <w:r>
        <w:rPr>
          <w:rFonts w:ascii="Inter" w:hAnsi="Inter" w:cs="Arial"/>
          <w:b/>
          <w:bCs/>
        </w:rPr>
        <w:t xml:space="preserve">GRANT </w:t>
      </w:r>
      <w:r w:rsidR="00A71E3D" w:rsidRPr="41590B60">
        <w:rPr>
          <w:rFonts w:ascii="Inter" w:hAnsi="Inter" w:cs="Arial"/>
          <w:b/>
          <w:bCs/>
        </w:rPr>
        <w:t>FUNDING</w:t>
      </w:r>
    </w:p>
    <w:p w14:paraId="29533D8A" w14:textId="40988F15" w:rsidR="6AED20BD" w:rsidRDefault="6AED20BD" w:rsidP="6AED20BD">
      <w:pPr>
        <w:spacing w:line="276" w:lineRule="auto"/>
        <w:ind w:right="140"/>
        <w:rPr>
          <w:rFonts w:ascii="Inter" w:hAnsi="Inter" w:cs="Arial"/>
          <w:b/>
          <w:bCs/>
        </w:rPr>
      </w:pPr>
    </w:p>
    <w:p w14:paraId="06FF3AFF" w14:textId="28709A78" w:rsidR="00C978BC" w:rsidRDefault="00AE7F73" w:rsidP="2DFE4DF5">
      <w:pPr>
        <w:pStyle w:val="ListParagraph"/>
        <w:numPr>
          <w:ilvl w:val="0"/>
          <w:numId w:val="4"/>
        </w:numPr>
        <w:spacing w:line="276" w:lineRule="auto"/>
        <w:ind w:left="567" w:right="140" w:hanging="567"/>
        <w:rPr>
          <w:rFonts w:ascii="Inter" w:hAnsi="Inter" w:cs="Arial"/>
        </w:rPr>
      </w:pPr>
      <w:r w:rsidRPr="2DFE4DF5">
        <w:rPr>
          <w:rFonts w:ascii="Inter" w:hAnsi="Inter" w:cs="Arial"/>
        </w:rPr>
        <w:t xml:space="preserve">The below table </w:t>
      </w:r>
      <w:r w:rsidR="0018607C" w:rsidRPr="2DFE4DF5">
        <w:rPr>
          <w:rFonts w:ascii="Inter" w:hAnsi="Inter" w:cs="Arial"/>
        </w:rPr>
        <w:t>shows</w:t>
      </w:r>
      <w:r w:rsidR="008B7804" w:rsidRPr="2DFE4DF5">
        <w:rPr>
          <w:rFonts w:ascii="Inter" w:hAnsi="Inter" w:cs="Arial"/>
        </w:rPr>
        <w:t xml:space="preserve"> the </w:t>
      </w:r>
      <w:r w:rsidR="0018607C" w:rsidRPr="2DFE4DF5">
        <w:rPr>
          <w:rFonts w:ascii="Inter" w:hAnsi="Inter" w:cs="Arial"/>
        </w:rPr>
        <w:t xml:space="preserve">grant </w:t>
      </w:r>
      <w:r w:rsidR="000809F5" w:rsidRPr="2DFE4DF5">
        <w:rPr>
          <w:rFonts w:ascii="Inter" w:hAnsi="Inter" w:cs="Arial"/>
        </w:rPr>
        <w:t xml:space="preserve">funding for </w:t>
      </w:r>
      <w:r w:rsidR="0020387E" w:rsidRPr="2DFE4DF5">
        <w:rPr>
          <w:rFonts w:ascii="Inter" w:hAnsi="Inter" w:cs="Arial"/>
        </w:rPr>
        <w:t>2026/27</w:t>
      </w:r>
      <w:r w:rsidR="233602E7" w:rsidRPr="2DFE4DF5">
        <w:rPr>
          <w:rFonts w:ascii="Inter" w:hAnsi="Inter" w:cs="Arial"/>
        </w:rPr>
        <w:t>.</w:t>
      </w:r>
    </w:p>
    <w:p w14:paraId="3E5F6B24" w14:textId="273FA0EB" w:rsidR="1A5F5E9D" w:rsidRDefault="1A5F5E9D" w:rsidP="5AB1DA0A">
      <w:pPr>
        <w:spacing w:line="276" w:lineRule="auto"/>
        <w:ind w:right="140"/>
        <w:rPr>
          <w:rFonts w:ascii="Inter" w:hAnsi="Inter" w:cs="Arial"/>
        </w:rPr>
      </w:pPr>
    </w:p>
    <w:p w14:paraId="313D117D" w14:textId="7D8F0926" w:rsidR="5AB1DA0A" w:rsidRDefault="5AB1DA0A" w:rsidP="5AB1DA0A">
      <w:pPr>
        <w:spacing w:line="276" w:lineRule="auto"/>
        <w:ind w:right="140"/>
        <w:rPr>
          <w:rFonts w:ascii="Inter" w:hAnsi="Inter" w:cs="Arial"/>
        </w:rPr>
      </w:pPr>
    </w:p>
    <w:p w14:paraId="0FBB7719" w14:textId="77777777" w:rsidR="004B5CE5" w:rsidRDefault="004B5CE5" w:rsidP="00724DF2">
      <w:pPr>
        <w:spacing w:line="276" w:lineRule="auto"/>
        <w:ind w:right="140"/>
        <w:jc w:val="right"/>
        <w:rPr>
          <w:rFonts w:ascii="Inter" w:hAnsi="Inter" w:cs="Arial"/>
          <w:b/>
          <w:bCs/>
        </w:rPr>
      </w:pPr>
    </w:p>
    <w:p w14:paraId="35F6C8AB" w14:textId="77777777" w:rsidR="00330FB8" w:rsidRDefault="007F7DFA" w:rsidP="00D34BDB">
      <w:pPr>
        <w:spacing w:line="276" w:lineRule="auto"/>
        <w:ind w:right="140"/>
        <w:jc w:val="center"/>
        <w:rPr>
          <w:rFonts w:ascii="Inter" w:hAnsi="Inter" w:cs="Arial"/>
          <w:b/>
          <w:bCs/>
        </w:rPr>
      </w:pPr>
      <w:r w:rsidRPr="00D34BDB">
        <w:rPr>
          <w:rFonts w:ascii="Inter" w:hAnsi="Inter" w:cs="Arial"/>
          <w:b/>
          <w:bCs/>
        </w:rPr>
        <w:t xml:space="preserve">Table </w:t>
      </w:r>
      <w:r w:rsidR="0004728E" w:rsidRPr="00D34BDB">
        <w:rPr>
          <w:rFonts w:ascii="Inter" w:hAnsi="Inter" w:cs="Arial"/>
          <w:b/>
          <w:bCs/>
        </w:rPr>
        <w:t>5 Summary o</w:t>
      </w:r>
      <w:r w:rsidR="005D19B4" w:rsidRPr="00D34BDB">
        <w:rPr>
          <w:rFonts w:ascii="Inter" w:hAnsi="Inter" w:cs="Arial"/>
          <w:b/>
          <w:bCs/>
        </w:rPr>
        <w:t xml:space="preserve">f TVCA 2026/27 </w:t>
      </w:r>
      <w:r w:rsidR="00D34BDB" w:rsidRPr="00D34BDB">
        <w:rPr>
          <w:rFonts w:ascii="Inter" w:hAnsi="Inter" w:cs="Arial"/>
          <w:b/>
          <w:bCs/>
        </w:rPr>
        <w:t>Revenue</w:t>
      </w:r>
      <w:r w:rsidR="00393598" w:rsidRPr="00D34BDB">
        <w:rPr>
          <w:rFonts w:ascii="Inter" w:hAnsi="Inter" w:cs="Arial"/>
          <w:b/>
          <w:bCs/>
        </w:rPr>
        <w:t xml:space="preserve"> funding</w:t>
      </w:r>
    </w:p>
    <w:p w14:paraId="762250D2" w14:textId="77777777" w:rsidR="00330FB8" w:rsidRDefault="00330FB8" w:rsidP="00D34BDB">
      <w:pPr>
        <w:spacing w:line="276" w:lineRule="auto"/>
        <w:ind w:right="140"/>
        <w:jc w:val="center"/>
        <w:rPr>
          <w:rFonts w:ascii="Inter" w:hAnsi="Inter" w:cs="Arial"/>
          <w:b/>
          <w:bCs/>
        </w:rPr>
      </w:pPr>
    </w:p>
    <w:tbl>
      <w:tblPr>
        <w:tblpPr w:leftFromText="180" w:rightFromText="180" w:vertAnchor="text" w:horzAnchor="margin" w:tblpXSpec="center" w:tblpY="1"/>
        <w:tblW w:w="7125" w:type="dxa"/>
        <w:tblLook w:val="04A0" w:firstRow="1" w:lastRow="0" w:firstColumn="1" w:lastColumn="0" w:noHBand="0" w:noVBand="1"/>
      </w:tblPr>
      <w:tblGrid>
        <w:gridCol w:w="3572"/>
        <w:gridCol w:w="3553"/>
      </w:tblGrid>
      <w:tr w:rsidR="00330FB8" w:rsidRPr="004716D2" w14:paraId="70A044CD" w14:textId="77777777" w:rsidTr="00330FB8">
        <w:trPr>
          <w:trHeight w:val="430"/>
        </w:trPr>
        <w:tc>
          <w:tcPr>
            <w:tcW w:w="3572" w:type="dxa"/>
            <w:tcBorders>
              <w:top w:val="single" w:sz="12" w:space="0" w:color="auto"/>
              <w:left w:val="single" w:sz="12" w:space="0" w:color="auto"/>
              <w:bottom w:val="nil"/>
              <w:right w:val="nil"/>
            </w:tcBorders>
            <w:shd w:val="clear" w:color="auto" w:fill="E8E8E8"/>
            <w:noWrap/>
            <w:vAlign w:val="bottom"/>
            <w:hideMark/>
          </w:tcPr>
          <w:p w14:paraId="4CDA93BB" w14:textId="77777777" w:rsidR="00330FB8" w:rsidRPr="003556EE" w:rsidRDefault="00330FB8" w:rsidP="00330FB8">
            <w:pP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 xml:space="preserve">Grant </w:t>
            </w:r>
            <w:r w:rsidRPr="003556EE">
              <w:rPr>
                <w:rFonts w:eastAsia="Times New Roman" w:cs="Times New Roman"/>
                <w:b/>
                <w:bCs/>
                <w:color w:val="000000"/>
                <w:kern w:val="0"/>
                <w:sz w:val="20"/>
                <w:szCs w:val="20"/>
                <w:lang w:eastAsia="en-GB"/>
                <w14:ligatures w14:val="none"/>
              </w:rPr>
              <w:t>Funding</w:t>
            </w:r>
          </w:p>
        </w:tc>
        <w:tc>
          <w:tcPr>
            <w:tcW w:w="3553" w:type="dxa"/>
            <w:tcBorders>
              <w:top w:val="single" w:sz="12" w:space="0" w:color="auto"/>
              <w:left w:val="single" w:sz="12" w:space="0" w:color="auto"/>
              <w:bottom w:val="nil"/>
              <w:right w:val="single" w:sz="12" w:space="0" w:color="auto"/>
            </w:tcBorders>
            <w:shd w:val="clear" w:color="auto" w:fill="E8E8E8"/>
            <w:hideMark/>
          </w:tcPr>
          <w:p w14:paraId="78625D3F" w14:textId="77777777" w:rsidR="00330FB8" w:rsidRPr="003556EE" w:rsidRDefault="00330FB8" w:rsidP="00330FB8">
            <w:pPr>
              <w:jc w:val="center"/>
              <w:rPr>
                <w:rFonts w:eastAsia="Times New Roman" w:cs="Times New Roman"/>
                <w:b/>
                <w:bCs/>
                <w:color w:val="000000"/>
                <w:kern w:val="0"/>
                <w:sz w:val="20"/>
                <w:szCs w:val="20"/>
                <w:lang w:eastAsia="en-GB"/>
                <w14:ligatures w14:val="none"/>
              </w:rPr>
            </w:pPr>
            <w:r w:rsidRPr="003556EE">
              <w:rPr>
                <w:rFonts w:eastAsia="Times New Roman" w:cs="Times New Roman"/>
                <w:b/>
                <w:bCs/>
                <w:color w:val="000000"/>
                <w:kern w:val="0"/>
                <w:sz w:val="20"/>
                <w:szCs w:val="20"/>
                <w:lang w:eastAsia="en-GB"/>
                <w14:ligatures w14:val="none"/>
              </w:rPr>
              <w:t>Budget 2026/27</w:t>
            </w:r>
          </w:p>
        </w:tc>
      </w:tr>
      <w:tr w:rsidR="00330FB8" w:rsidRPr="004716D2" w14:paraId="5FD5D6B2" w14:textId="77777777" w:rsidTr="00330FB8">
        <w:trPr>
          <w:trHeight w:val="220"/>
        </w:trPr>
        <w:tc>
          <w:tcPr>
            <w:tcW w:w="3572" w:type="dxa"/>
            <w:tcBorders>
              <w:top w:val="nil"/>
              <w:left w:val="single" w:sz="12" w:space="0" w:color="auto"/>
              <w:bottom w:val="single" w:sz="8" w:space="0" w:color="auto"/>
              <w:right w:val="nil"/>
            </w:tcBorders>
            <w:shd w:val="clear" w:color="auto" w:fill="E8E8E8"/>
            <w:noWrap/>
            <w:vAlign w:val="bottom"/>
            <w:hideMark/>
          </w:tcPr>
          <w:p w14:paraId="4F7C63AF" w14:textId="77777777" w:rsidR="00330FB8" w:rsidRPr="003556EE" w:rsidRDefault="00330FB8" w:rsidP="00330FB8">
            <w:pPr>
              <w:rPr>
                <w:rFonts w:eastAsia="Times New Roman" w:cs="Times New Roman"/>
                <w:b/>
                <w:bCs/>
                <w:color w:val="000000"/>
                <w:kern w:val="0"/>
                <w:sz w:val="20"/>
                <w:szCs w:val="20"/>
                <w:lang w:eastAsia="en-GB"/>
                <w14:ligatures w14:val="none"/>
              </w:rPr>
            </w:pPr>
            <w:r w:rsidRPr="003556EE">
              <w:rPr>
                <w:rFonts w:eastAsia="Times New Roman" w:cs="Times New Roman"/>
                <w:b/>
                <w:bCs/>
                <w:color w:val="000000"/>
                <w:kern w:val="0"/>
                <w:sz w:val="20"/>
                <w:szCs w:val="20"/>
                <w:lang w:eastAsia="en-GB"/>
                <w14:ligatures w14:val="none"/>
              </w:rPr>
              <w:t> </w:t>
            </w:r>
          </w:p>
        </w:tc>
        <w:tc>
          <w:tcPr>
            <w:tcW w:w="3553" w:type="dxa"/>
            <w:tcBorders>
              <w:top w:val="nil"/>
              <w:left w:val="single" w:sz="12" w:space="0" w:color="auto"/>
              <w:bottom w:val="single" w:sz="8" w:space="0" w:color="auto"/>
              <w:right w:val="single" w:sz="12" w:space="0" w:color="auto"/>
            </w:tcBorders>
            <w:shd w:val="clear" w:color="auto" w:fill="E8E8E8"/>
            <w:noWrap/>
            <w:vAlign w:val="bottom"/>
            <w:hideMark/>
          </w:tcPr>
          <w:p w14:paraId="72090A1C" w14:textId="77777777" w:rsidR="00330FB8" w:rsidRPr="003556EE" w:rsidRDefault="00330FB8" w:rsidP="00330FB8">
            <w:pPr>
              <w:jc w:val="center"/>
              <w:rPr>
                <w:rFonts w:eastAsia="Times New Roman" w:cs="Times New Roman"/>
                <w:b/>
                <w:bCs/>
                <w:color w:val="000000"/>
                <w:kern w:val="0"/>
                <w:sz w:val="20"/>
                <w:szCs w:val="20"/>
                <w:lang w:eastAsia="en-GB"/>
                <w14:ligatures w14:val="none"/>
              </w:rPr>
            </w:pPr>
            <w:r w:rsidRPr="003556EE">
              <w:rPr>
                <w:rFonts w:eastAsia="Times New Roman" w:cs="Times New Roman"/>
                <w:b/>
                <w:bCs/>
                <w:color w:val="000000"/>
                <w:kern w:val="0"/>
                <w:sz w:val="20"/>
                <w:szCs w:val="20"/>
                <w:lang w:eastAsia="en-GB"/>
                <w14:ligatures w14:val="none"/>
              </w:rPr>
              <w:t>£'000</w:t>
            </w:r>
          </w:p>
        </w:tc>
      </w:tr>
      <w:tr w:rsidR="00330FB8" w:rsidRPr="004716D2" w14:paraId="112FEB8C" w14:textId="77777777" w:rsidTr="00330FB8">
        <w:trPr>
          <w:trHeight w:val="220"/>
        </w:trPr>
        <w:tc>
          <w:tcPr>
            <w:tcW w:w="3572" w:type="dxa"/>
            <w:tcBorders>
              <w:top w:val="single" w:sz="8" w:space="0" w:color="auto"/>
              <w:left w:val="single" w:sz="12" w:space="0" w:color="auto"/>
              <w:bottom w:val="single" w:sz="4" w:space="0" w:color="auto"/>
              <w:right w:val="single" w:sz="12" w:space="0" w:color="auto"/>
            </w:tcBorders>
            <w:shd w:val="clear" w:color="auto" w:fill="E8E8E8"/>
            <w:vAlign w:val="bottom"/>
            <w:hideMark/>
          </w:tcPr>
          <w:p w14:paraId="299A54B0" w14:textId="77777777" w:rsidR="00330FB8" w:rsidRPr="003556EE" w:rsidRDefault="00330FB8" w:rsidP="00330FB8">
            <w:pPr>
              <w:rPr>
                <w:rFonts w:eastAsia="Times New Roman" w:cs="Times New Roman"/>
                <w:color w:val="000000"/>
                <w:kern w:val="0"/>
                <w:sz w:val="20"/>
                <w:szCs w:val="20"/>
                <w:lang w:eastAsia="en-GB"/>
                <w14:ligatures w14:val="none"/>
              </w:rPr>
            </w:pPr>
            <w:r w:rsidRPr="003556EE">
              <w:rPr>
                <w:rFonts w:eastAsia="Times New Roman" w:cs="Times New Roman"/>
                <w:color w:val="000000"/>
                <w:kern w:val="0"/>
                <w:sz w:val="20"/>
                <w:szCs w:val="20"/>
                <w:lang w:eastAsia="en-GB"/>
                <w14:ligatures w14:val="none"/>
              </w:rPr>
              <w:t>Devolution Funding</w:t>
            </w:r>
          </w:p>
        </w:tc>
        <w:tc>
          <w:tcPr>
            <w:tcW w:w="3553" w:type="dxa"/>
            <w:tcBorders>
              <w:top w:val="single" w:sz="8" w:space="0" w:color="auto"/>
              <w:left w:val="single" w:sz="12" w:space="0" w:color="auto"/>
              <w:bottom w:val="single" w:sz="4" w:space="0" w:color="auto"/>
              <w:right w:val="single" w:sz="12" w:space="0" w:color="auto"/>
            </w:tcBorders>
            <w:noWrap/>
            <w:vAlign w:val="bottom"/>
            <w:hideMark/>
          </w:tcPr>
          <w:p w14:paraId="20AFBE9A" w14:textId="77777777" w:rsidR="00330FB8" w:rsidRPr="003556EE" w:rsidRDefault="00330FB8" w:rsidP="00330FB8">
            <w:pPr>
              <w:jc w:val="right"/>
              <w:rPr>
                <w:rFonts w:eastAsia="Times New Roman" w:cs="Times New Roman"/>
                <w:color w:val="000000"/>
                <w:kern w:val="0"/>
                <w:sz w:val="20"/>
                <w:szCs w:val="20"/>
                <w:lang w:eastAsia="en-GB"/>
                <w14:ligatures w14:val="none"/>
              </w:rPr>
            </w:pPr>
            <w:r w:rsidRPr="003556EE">
              <w:rPr>
                <w:rFonts w:eastAsia="Times New Roman" w:cs="Times New Roman"/>
                <w:color w:val="000000"/>
                <w:kern w:val="0"/>
                <w:sz w:val="20"/>
                <w:szCs w:val="20"/>
                <w:lang w:eastAsia="en-GB"/>
                <w14:ligatures w14:val="none"/>
              </w:rPr>
              <w:t>(15,000)</w:t>
            </w:r>
          </w:p>
        </w:tc>
      </w:tr>
      <w:tr w:rsidR="00330FB8" w:rsidRPr="004716D2" w14:paraId="1272904D" w14:textId="77777777" w:rsidTr="00330FB8">
        <w:trPr>
          <w:trHeight w:val="210"/>
        </w:trPr>
        <w:tc>
          <w:tcPr>
            <w:tcW w:w="3572" w:type="dxa"/>
            <w:tcBorders>
              <w:top w:val="nil"/>
              <w:left w:val="single" w:sz="12" w:space="0" w:color="auto"/>
              <w:bottom w:val="single" w:sz="4" w:space="0" w:color="auto"/>
              <w:right w:val="single" w:sz="12" w:space="0" w:color="auto"/>
            </w:tcBorders>
            <w:shd w:val="clear" w:color="auto" w:fill="E8E8E8"/>
            <w:vAlign w:val="bottom"/>
            <w:hideMark/>
          </w:tcPr>
          <w:p w14:paraId="766C05EA" w14:textId="77777777" w:rsidR="00330FB8" w:rsidRPr="003556EE" w:rsidRDefault="00330FB8" w:rsidP="00330FB8">
            <w:pPr>
              <w:rPr>
                <w:rFonts w:eastAsia="Times New Roman" w:cs="Times New Roman"/>
                <w:color w:val="000000"/>
                <w:kern w:val="0"/>
                <w:sz w:val="20"/>
                <w:szCs w:val="20"/>
                <w:lang w:eastAsia="en-GB"/>
                <w14:ligatures w14:val="none"/>
              </w:rPr>
            </w:pPr>
            <w:r w:rsidRPr="003556EE">
              <w:rPr>
                <w:rFonts w:eastAsia="Times New Roman" w:cs="Times New Roman"/>
                <w:color w:val="000000"/>
                <w:kern w:val="0"/>
                <w:sz w:val="20"/>
                <w:szCs w:val="20"/>
                <w:lang w:eastAsia="en-GB"/>
                <w14:ligatures w14:val="none"/>
              </w:rPr>
              <w:t>Emp NI Grant</w:t>
            </w:r>
          </w:p>
        </w:tc>
        <w:tc>
          <w:tcPr>
            <w:tcW w:w="3553" w:type="dxa"/>
            <w:tcBorders>
              <w:top w:val="single" w:sz="4" w:space="0" w:color="auto"/>
              <w:left w:val="single" w:sz="12" w:space="0" w:color="auto"/>
              <w:bottom w:val="single" w:sz="4" w:space="0" w:color="auto"/>
              <w:right w:val="single" w:sz="12" w:space="0" w:color="auto"/>
            </w:tcBorders>
            <w:noWrap/>
            <w:vAlign w:val="bottom"/>
            <w:hideMark/>
          </w:tcPr>
          <w:p w14:paraId="292BDAB8" w14:textId="77777777" w:rsidR="00330FB8" w:rsidRPr="003556EE" w:rsidRDefault="00330FB8" w:rsidP="00330FB8">
            <w:pPr>
              <w:jc w:val="right"/>
              <w:rPr>
                <w:rFonts w:eastAsia="Times New Roman" w:cs="Times New Roman"/>
                <w:color w:val="000000"/>
                <w:kern w:val="0"/>
                <w:sz w:val="20"/>
                <w:szCs w:val="20"/>
                <w:lang w:eastAsia="en-GB"/>
                <w14:ligatures w14:val="none"/>
              </w:rPr>
            </w:pPr>
            <w:r w:rsidRPr="003556EE">
              <w:rPr>
                <w:rFonts w:eastAsia="Times New Roman" w:cs="Times New Roman"/>
                <w:color w:val="000000"/>
                <w:kern w:val="0"/>
                <w:sz w:val="20"/>
                <w:szCs w:val="20"/>
                <w:lang w:eastAsia="en-GB"/>
                <w14:ligatures w14:val="none"/>
              </w:rPr>
              <w:t>(180)</w:t>
            </w:r>
          </w:p>
        </w:tc>
      </w:tr>
      <w:tr w:rsidR="00330FB8" w:rsidRPr="004716D2" w14:paraId="4363E616" w14:textId="77777777" w:rsidTr="00330FB8">
        <w:trPr>
          <w:trHeight w:val="210"/>
        </w:trPr>
        <w:tc>
          <w:tcPr>
            <w:tcW w:w="3572" w:type="dxa"/>
            <w:tcBorders>
              <w:top w:val="nil"/>
              <w:left w:val="single" w:sz="12" w:space="0" w:color="auto"/>
              <w:bottom w:val="single" w:sz="12" w:space="0" w:color="auto"/>
              <w:right w:val="single" w:sz="12" w:space="0" w:color="auto"/>
            </w:tcBorders>
            <w:shd w:val="clear" w:color="auto" w:fill="E8E8E8"/>
            <w:vAlign w:val="bottom"/>
          </w:tcPr>
          <w:p w14:paraId="50168A13" w14:textId="77777777" w:rsidR="00330FB8" w:rsidRPr="003556EE" w:rsidRDefault="00330FB8" w:rsidP="00330FB8">
            <w:pPr>
              <w:rPr>
                <w:rFonts w:eastAsia="Times New Roman" w:cs="Times New Roman"/>
                <w:color w:val="000000"/>
                <w:kern w:val="0"/>
                <w:sz w:val="20"/>
                <w:szCs w:val="20"/>
                <w:lang w:eastAsia="en-GB"/>
                <w14:ligatures w14:val="none"/>
              </w:rPr>
            </w:pPr>
            <w:r w:rsidRPr="003556EE">
              <w:rPr>
                <w:rFonts w:eastAsia="Times New Roman" w:cs="Times New Roman"/>
                <w:color w:val="000000"/>
                <w:kern w:val="0"/>
                <w:sz w:val="20"/>
                <w:szCs w:val="20"/>
                <w:lang w:eastAsia="en-GB"/>
                <w14:ligatures w14:val="none"/>
              </w:rPr>
              <w:t>Mayoral capacity</w:t>
            </w:r>
          </w:p>
        </w:tc>
        <w:tc>
          <w:tcPr>
            <w:tcW w:w="3553" w:type="dxa"/>
            <w:tcBorders>
              <w:top w:val="nil"/>
              <w:left w:val="single" w:sz="12" w:space="0" w:color="auto"/>
              <w:bottom w:val="single" w:sz="12" w:space="0" w:color="auto"/>
              <w:right w:val="single" w:sz="12" w:space="0" w:color="auto"/>
            </w:tcBorders>
            <w:noWrap/>
            <w:vAlign w:val="bottom"/>
          </w:tcPr>
          <w:p w14:paraId="0BBBEC46" w14:textId="77777777" w:rsidR="00330FB8" w:rsidRPr="003556EE" w:rsidRDefault="00330FB8" w:rsidP="00330FB8">
            <w:pPr>
              <w:jc w:val="right"/>
              <w:rPr>
                <w:rFonts w:eastAsia="Times New Roman" w:cs="Times New Roman"/>
                <w:color w:val="000000"/>
                <w:kern w:val="0"/>
                <w:sz w:val="20"/>
                <w:szCs w:val="20"/>
                <w:lang w:eastAsia="en-GB"/>
                <w14:ligatures w14:val="none"/>
              </w:rPr>
            </w:pPr>
            <w:r w:rsidRPr="003556EE">
              <w:rPr>
                <w:rFonts w:eastAsia="Times New Roman" w:cs="Times New Roman"/>
                <w:color w:val="000000"/>
                <w:kern w:val="0"/>
                <w:sz w:val="20"/>
                <w:szCs w:val="20"/>
                <w:lang w:eastAsia="en-GB"/>
                <w14:ligatures w14:val="none"/>
              </w:rPr>
              <w:t>(1,500)</w:t>
            </w:r>
          </w:p>
        </w:tc>
      </w:tr>
      <w:tr w:rsidR="00330FB8" w:rsidRPr="004716D2" w14:paraId="2F4D99AE" w14:textId="77777777" w:rsidTr="00330FB8">
        <w:trPr>
          <w:trHeight w:val="210"/>
        </w:trPr>
        <w:tc>
          <w:tcPr>
            <w:tcW w:w="3572" w:type="dxa"/>
            <w:tcBorders>
              <w:top w:val="single" w:sz="12" w:space="0" w:color="auto"/>
              <w:left w:val="single" w:sz="12" w:space="0" w:color="auto"/>
              <w:bottom w:val="single" w:sz="12" w:space="0" w:color="auto"/>
              <w:right w:val="single" w:sz="12" w:space="0" w:color="auto"/>
            </w:tcBorders>
            <w:shd w:val="clear" w:color="auto" w:fill="E8E8E8"/>
            <w:vAlign w:val="bottom"/>
            <w:hideMark/>
          </w:tcPr>
          <w:p w14:paraId="6A7EBDB8" w14:textId="77777777" w:rsidR="00330FB8" w:rsidRPr="003556EE" w:rsidRDefault="00330FB8" w:rsidP="00330FB8">
            <w:pPr>
              <w:rPr>
                <w:rFonts w:eastAsia="Times New Roman" w:cs="Times New Roman"/>
                <w:color w:val="000000"/>
                <w:kern w:val="0"/>
                <w:sz w:val="20"/>
                <w:szCs w:val="20"/>
                <w:lang w:eastAsia="en-GB"/>
                <w14:ligatures w14:val="none"/>
              </w:rPr>
            </w:pPr>
            <w:r w:rsidRPr="003556EE">
              <w:rPr>
                <w:rFonts w:eastAsia="Times New Roman" w:cs="Times New Roman"/>
                <w:b/>
                <w:bCs/>
                <w:color w:val="000000"/>
                <w:kern w:val="0"/>
                <w:sz w:val="20"/>
                <w:szCs w:val="20"/>
                <w:lang w:eastAsia="en-GB"/>
                <w14:ligatures w14:val="none"/>
              </w:rPr>
              <w:t xml:space="preserve">Total Core Funding </w:t>
            </w:r>
          </w:p>
        </w:tc>
        <w:tc>
          <w:tcPr>
            <w:tcW w:w="3553" w:type="dxa"/>
            <w:tcBorders>
              <w:top w:val="single" w:sz="12" w:space="0" w:color="auto"/>
              <w:left w:val="nil"/>
              <w:bottom w:val="single" w:sz="12" w:space="0" w:color="auto"/>
              <w:right w:val="single" w:sz="12" w:space="0" w:color="auto"/>
            </w:tcBorders>
            <w:shd w:val="clear" w:color="auto" w:fill="E8E8E8"/>
            <w:noWrap/>
            <w:vAlign w:val="bottom"/>
            <w:hideMark/>
          </w:tcPr>
          <w:p w14:paraId="1B4132FB" w14:textId="77777777" w:rsidR="00330FB8" w:rsidRPr="003556EE" w:rsidRDefault="00330FB8" w:rsidP="00330FB8">
            <w:pPr>
              <w:jc w:val="right"/>
              <w:rPr>
                <w:rFonts w:eastAsia="Times New Roman" w:cs="Times New Roman"/>
                <w:color w:val="000000"/>
                <w:kern w:val="0"/>
                <w:sz w:val="20"/>
                <w:szCs w:val="20"/>
                <w:lang w:eastAsia="en-GB"/>
                <w14:ligatures w14:val="none"/>
              </w:rPr>
            </w:pPr>
            <w:r w:rsidRPr="2712E15D">
              <w:rPr>
                <w:rFonts w:eastAsia="Times New Roman" w:cs="Times New Roman"/>
                <w:b/>
                <w:color w:val="000000"/>
                <w:kern w:val="0"/>
                <w:sz w:val="20"/>
                <w:szCs w:val="20"/>
                <w:lang w:eastAsia="en-GB"/>
                <w14:ligatures w14:val="none"/>
              </w:rPr>
              <w:t>(16,680</w:t>
            </w:r>
            <w:r w:rsidRPr="003556EE">
              <w:rPr>
                <w:rFonts w:eastAsia="Times New Roman" w:cs="Times New Roman"/>
                <w:color w:val="000000"/>
                <w:kern w:val="0"/>
                <w:sz w:val="20"/>
                <w:szCs w:val="20"/>
                <w:lang w:eastAsia="en-GB"/>
                <w14:ligatures w14:val="none"/>
              </w:rPr>
              <w:t>)</w:t>
            </w:r>
          </w:p>
        </w:tc>
      </w:tr>
      <w:tr w:rsidR="00330FB8" w:rsidRPr="004716D2" w14:paraId="25395CD9" w14:textId="77777777" w:rsidTr="00330FB8">
        <w:trPr>
          <w:trHeight w:val="220"/>
        </w:trPr>
        <w:tc>
          <w:tcPr>
            <w:tcW w:w="3572" w:type="dxa"/>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bottom"/>
            <w:hideMark/>
          </w:tcPr>
          <w:p w14:paraId="4F0D8186" w14:textId="77777777" w:rsidR="00330FB8" w:rsidRPr="003556EE" w:rsidRDefault="00330FB8" w:rsidP="00330FB8">
            <w:pPr>
              <w:rPr>
                <w:rFonts w:eastAsia="Times New Roman" w:cs="Times New Roman"/>
                <w:b/>
                <w:bCs/>
                <w:color w:val="000000"/>
                <w:kern w:val="0"/>
                <w:sz w:val="20"/>
                <w:szCs w:val="20"/>
                <w:lang w:eastAsia="en-GB"/>
                <w14:ligatures w14:val="none"/>
              </w:rPr>
            </w:pPr>
            <w:r w:rsidRPr="2712E15D">
              <w:rPr>
                <w:rFonts w:eastAsia="Times New Roman" w:cs="Times New Roman"/>
                <w:b/>
                <w:bCs/>
                <w:color w:val="000000"/>
                <w:kern w:val="0"/>
                <w:sz w:val="20"/>
                <w:szCs w:val="20"/>
                <w:lang w:eastAsia="en-GB"/>
                <w14:ligatures w14:val="none"/>
              </w:rPr>
              <w:t xml:space="preserve">Specific </w:t>
            </w:r>
            <w:r w:rsidRPr="4A94F4E7">
              <w:rPr>
                <w:rFonts w:eastAsia="Times New Roman" w:cs="Times New Roman"/>
                <w:b/>
                <w:color w:val="000000"/>
                <w:kern w:val="0"/>
                <w:sz w:val="20"/>
                <w:szCs w:val="20"/>
                <w:lang w:eastAsia="en-GB"/>
                <w14:ligatures w14:val="none"/>
              </w:rPr>
              <w:t>Government Grants</w:t>
            </w:r>
          </w:p>
        </w:tc>
        <w:tc>
          <w:tcPr>
            <w:tcW w:w="3553" w:type="dxa"/>
            <w:tcBorders>
              <w:top w:val="single" w:sz="4" w:space="0" w:color="auto"/>
              <w:left w:val="single" w:sz="8" w:space="0" w:color="auto"/>
              <w:bottom w:val="single" w:sz="4" w:space="0" w:color="auto"/>
              <w:right w:val="single" w:sz="12" w:space="0" w:color="auto"/>
            </w:tcBorders>
            <w:noWrap/>
            <w:vAlign w:val="bottom"/>
            <w:hideMark/>
          </w:tcPr>
          <w:p w14:paraId="542EDF4D" w14:textId="77777777" w:rsidR="00330FB8" w:rsidRPr="003556EE" w:rsidRDefault="00330FB8" w:rsidP="00330FB8">
            <w:pPr>
              <w:jc w:val="right"/>
              <w:rPr>
                <w:rFonts w:eastAsia="Times New Roman" w:cs="Times New Roman"/>
                <w:b/>
                <w:color w:val="000000"/>
                <w:kern w:val="0"/>
                <w:sz w:val="20"/>
                <w:szCs w:val="20"/>
                <w:lang w:eastAsia="en-GB"/>
                <w14:ligatures w14:val="none"/>
              </w:rPr>
            </w:pPr>
            <w:r w:rsidRPr="2712E15D">
              <w:rPr>
                <w:rFonts w:eastAsia="Times New Roman" w:cs="Times New Roman"/>
                <w:b/>
                <w:color w:val="000000"/>
                <w:kern w:val="0"/>
                <w:sz w:val="20"/>
                <w:szCs w:val="20"/>
                <w:lang w:eastAsia="en-GB"/>
                <w14:ligatures w14:val="none"/>
              </w:rPr>
              <w:t>(81,624)</w:t>
            </w:r>
          </w:p>
        </w:tc>
      </w:tr>
      <w:tr w:rsidR="00330FB8" w:rsidRPr="004716D2" w14:paraId="2F6912B2" w14:textId="77777777" w:rsidTr="00330FB8">
        <w:trPr>
          <w:trHeight w:val="220"/>
        </w:trPr>
        <w:tc>
          <w:tcPr>
            <w:tcW w:w="3572" w:type="dxa"/>
            <w:tcBorders>
              <w:top w:val="single" w:sz="8" w:space="0" w:color="auto"/>
              <w:left w:val="single" w:sz="12" w:space="0" w:color="auto"/>
              <w:bottom w:val="single" w:sz="12" w:space="0" w:color="auto"/>
              <w:right w:val="single" w:sz="12" w:space="0" w:color="auto"/>
            </w:tcBorders>
            <w:shd w:val="clear" w:color="auto" w:fill="DDDDDD" w:themeFill="accent1"/>
            <w:vAlign w:val="bottom"/>
            <w:hideMark/>
          </w:tcPr>
          <w:p w14:paraId="24ABBC70" w14:textId="77777777" w:rsidR="00330FB8" w:rsidRPr="003556EE" w:rsidRDefault="00330FB8" w:rsidP="00330FB8">
            <w:pPr>
              <w:rPr>
                <w:rFonts w:eastAsia="Times New Roman" w:cs="Times New Roman"/>
                <w:b/>
                <w:bCs/>
                <w:color w:val="000000"/>
                <w:kern w:val="0"/>
                <w:sz w:val="20"/>
                <w:szCs w:val="20"/>
                <w:lang w:eastAsia="en-GB"/>
                <w14:ligatures w14:val="none"/>
              </w:rPr>
            </w:pPr>
            <w:r w:rsidRPr="003556EE">
              <w:rPr>
                <w:rFonts w:eastAsia="Times New Roman" w:cs="Times New Roman"/>
                <w:b/>
                <w:bCs/>
                <w:color w:val="000000"/>
                <w:kern w:val="0"/>
                <w:sz w:val="20"/>
                <w:szCs w:val="20"/>
                <w:lang w:eastAsia="en-GB"/>
                <w14:ligatures w14:val="none"/>
              </w:rPr>
              <w:t xml:space="preserve">Total </w:t>
            </w:r>
            <w:r>
              <w:rPr>
                <w:rFonts w:eastAsia="Times New Roman" w:cs="Times New Roman"/>
                <w:b/>
                <w:bCs/>
                <w:color w:val="000000"/>
                <w:kern w:val="0"/>
                <w:sz w:val="20"/>
                <w:szCs w:val="20"/>
                <w:lang w:eastAsia="en-GB"/>
                <w14:ligatures w14:val="none"/>
              </w:rPr>
              <w:t>Grant</w:t>
            </w:r>
            <w:r w:rsidRPr="003556EE">
              <w:rPr>
                <w:rFonts w:eastAsia="Times New Roman" w:cs="Times New Roman"/>
                <w:b/>
                <w:bCs/>
                <w:color w:val="000000"/>
                <w:kern w:val="0"/>
                <w:sz w:val="20"/>
                <w:szCs w:val="20"/>
                <w:lang w:eastAsia="en-GB"/>
                <w14:ligatures w14:val="none"/>
              </w:rPr>
              <w:t xml:space="preserve"> Funding </w:t>
            </w:r>
          </w:p>
        </w:tc>
        <w:tc>
          <w:tcPr>
            <w:tcW w:w="3553" w:type="dxa"/>
            <w:tcBorders>
              <w:top w:val="single" w:sz="8" w:space="0" w:color="auto"/>
              <w:left w:val="single" w:sz="12" w:space="0" w:color="auto"/>
              <w:bottom w:val="single" w:sz="12" w:space="0" w:color="auto"/>
              <w:right w:val="single" w:sz="12" w:space="0" w:color="auto"/>
            </w:tcBorders>
            <w:shd w:val="clear" w:color="auto" w:fill="DDDDDD" w:themeFill="accent1"/>
            <w:noWrap/>
            <w:vAlign w:val="bottom"/>
            <w:hideMark/>
          </w:tcPr>
          <w:p w14:paraId="6B68D2BA" w14:textId="77777777" w:rsidR="00330FB8" w:rsidRPr="003556EE" w:rsidRDefault="00330FB8" w:rsidP="00330FB8">
            <w:pPr>
              <w:jc w:val="right"/>
              <w:rPr>
                <w:rFonts w:eastAsia="Times New Roman" w:cs="Times New Roman"/>
                <w:b/>
                <w:color w:val="000000"/>
                <w:kern w:val="0"/>
                <w:sz w:val="20"/>
                <w:szCs w:val="20"/>
                <w:lang w:eastAsia="en-GB"/>
                <w14:ligatures w14:val="none"/>
              </w:rPr>
            </w:pPr>
            <w:r w:rsidRPr="2712E15D">
              <w:rPr>
                <w:rFonts w:eastAsia="Times New Roman" w:cs="Times New Roman"/>
                <w:b/>
                <w:color w:val="000000"/>
                <w:kern w:val="0"/>
                <w:sz w:val="20"/>
                <w:szCs w:val="20"/>
                <w:lang w:eastAsia="en-GB"/>
                <w14:ligatures w14:val="none"/>
              </w:rPr>
              <w:t>(98,304)</w:t>
            </w:r>
          </w:p>
        </w:tc>
      </w:tr>
    </w:tbl>
    <w:p w14:paraId="59E17DE7" w14:textId="77777777" w:rsidR="00330FB8" w:rsidRDefault="00330FB8" w:rsidP="00D34BDB">
      <w:pPr>
        <w:spacing w:line="276" w:lineRule="auto"/>
        <w:ind w:right="140"/>
        <w:jc w:val="center"/>
        <w:rPr>
          <w:rFonts w:ascii="Inter" w:hAnsi="Inter" w:cs="Arial"/>
          <w:b/>
          <w:bCs/>
        </w:rPr>
      </w:pPr>
    </w:p>
    <w:p w14:paraId="5784527D" w14:textId="6E354E49" w:rsidR="00244FD5" w:rsidRDefault="00244FD5" w:rsidP="2742E8C9">
      <w:pPr>
        <w:spacing w:line="276" w:lineRule="auto"/>
        <w:ind w:right="140"/>
        <w:jc w:val="center"/>
        <w:rPr>
          <w:rFonts w:ascii="Inter" w:hAnsi="Inter" w:cs="Arial"/>
          <w:b/>
          <w:bCs/>
        </w:rPr>
      </w:pPr>
    </w:p>
    <w:p w14:paraId="6EBBA302" w14:textId="0DF09E69" w:rsidR="00902DB3" w:rsidRDefault="00902DB3" w:rsidP="36F3611D">
      <w:pPr>
        <w:pStyle w:val="ListParagraph"/>
        <w:spacing w:line="276" w:lineRule="auto"/>
        <w:ind w:left="360" w:right="140"/>
        <w:rPr>
          <w:rFonts w:ascii="Inter" w:eastAsia="Times New Roman" w:hAnsi="Inter" w:cs="Segoe UI"/>
          <w:b/>
          <w:color w:val="auto"/>
          <w:lang w:eastAsia="en-GB"/>
        </w:rPr>
      </w:pPr>
    </w:p>
    <w:p w14:paraId="0561A3EA" w14:textId="77777777" w:rsidR="005E2DF8" w:rsidRDefault="005E2DF8" w:rsidP="36F3611D">
      <w:pPr>
        <w:pStyle w:val="ListParagraph"/>
        <w:spacing w:line="276" w:lineRule="auto"/>
        <w:ind w:left="360" w:right="140"/>
        <w:rPr>
          <w:rFonts w:ascii="Inter" w:eastAsia="Times New Roman" w:hAnsi="Inter" w:cs="Segoe UI"/>
          <w:b/>
          <w:bCs/>
          <w:color w:val="auto"/>
          <w:kern w:val="0"/>
          <w:lang w:eastAsia="en-GB"/>
          <w14:ligatures w14:val="none"/>
        </w:rPr>
      </w:pPr>
    </w:p>
    <w:p w14:paraId="7C66CEAD" w14:textId="77777777" w:rsidR="005E2DF8" w:rsidRDefault="005E2DF8" w:rsidP="36F3611D">
      <w:pPr>
        <w:pStyle w:val="ListParagraph"/>
        <w:spacing w:line="276" w:lineRule="auto"/>
        <w:ind w:left="360" w:right="140"/>
        <w:rPr>
          <w:rFonts w:ascii="Inter" w:eastAsia="Times New Roman" w:hAnsi="Inter" w:cs="Segoe UI"/>
          <w:b/>
          <w:bCs/>
          <w:color w:val="auto"/>
          <w:kern w:val="0"/>
          <w:lang w:eastAsia="en-GB"/>
          <w14:ligatures w14:val="none"/>
        </w:rPr>
      </w:pPr>
    </w:p>
    <w:p w14:paraId="02938DE4" w14:textId="77777777" w:rsidR="005E2DF8" w:rsidRDefault="005E2DF8" w:rsidP="36F3611D">
      <w:pPr>
        <w:pStyle w:val="ListParagraph"/>
        <w:spacing w:line="276" w:lineRule="auto"/>
        <w:ind w:left="360" w:right="140"/>
        <w:rPr>
          <w:rFonts w:ascii="Inter" w:eastAsia="Times New Roman" w:hAnsi="Inter" w:cs="Segoe UI"/>
          <w:b/>
          <w:bCs/>
          <w:color w:val="auto"/>
          <w:kern w:val="0"/>
          <w:lang w:eastAsia="en-GB"/>
          <w14:ligatures w14:val="none"/>
        </w:rPr>
      </w:pPr>
    </w:p>
    <w:p w14:paraId="1A0865DD" w14:textId="77777777" w:rsidR="005E2DF8" w:rsidRDefault="005E2DF8" w:rsidP="36F3611D">
      <w:pPr>
        <w:pStyle w:val="ListParagraph"/>
        <w:spacing w:line="276" w:lineRule="auto"/>
        <w:ind w:left="360" w:right="140"/>
        <w:rPr>
          <w:rFonts w:ascii="Inter" w:eastAsia="Times New Roman" w:hAnsi="Inter" w:cs="Segoe UI"/>
          <w:b/>
          <w:bCs/>
          <w:color w:val="auto"/>
          <w:kern w:val="0"/>
          <w:lang w:eastAsia="en-GB"/>
          <w14:ligatures w14:val="none"/>
        </w:rPr>
      </w:pPr>
    </w:p>
    <w:p w14:paraId="480E2CB7" w14:textId="77777777" w:rsidR="005E2DF8" w:rsidRDefault="005E2DF8" w:rsidP="36F3611D">
      <w:pPr>
        <w:pStyle w:val="ListParagraph"/>
        <w:spacing w:line="276" w:lineRule="auto"/>
        <w:ind w:left="360" w:right="140"/>
        <w:rPr>
          <w:rFonts w:ascii="Inter" w:eastAsia="Times New Roman" w:hAnsi="Inter" w:cs="Segoe UI"/>
          <w:b/>
          <w:bCs/>
          <w:color w:val="auto"/>
          <w:kern w:val="0"/>
          <w:lang w:eastAsia="en-GB"/>
          <w14:ligatures w14:val="none"/>
        </w:rPr>
      </w:pPr>
    </w:p>
    <w:p w14:paraId="5202C6B8" w14:textId="77777777" w:rsidR="005E2DF8" w:rsidRDefault="005E2DF8" w:rsidP="36F3611D">
      <w:pPr>
        <w:pStyle w:val="ListParagraph"/>
        <w:spacing w:line="276" w:lineRule="auto"/>
        <w:ind w:left="360" w:right="140"/>
        <w:rPr>
          <w:rFonts w:ascii="Inter" w:eastAsia="Times New Roman" w:hAnsi="Inter" w:cs="Segoe UI"/>
          <w:b/>
          <w:bCs/>
          <w:color w:val="auto"/>
          <w:kern w:val="0"/>
          <w:lang w:eastAsia="en-GB"/>
          <w14:ligatures w14:val="none"/>
        </w:rPr>
      </w:pPr>
    </w:p>
    <w:p w14:paraId="51B42CCA" w14:textId="62D64ADC" w:rsidR="006C5025" w:rsidRPr="006C5025" w:rsidRDefault="50BCBFF5" w:rsidP="36F3611D">
      <w:pPr>
        <w:pStyle w:val="ListParagraph"/>
        <w:spacing w:line="276" w:lineRule="auto"/>
        <w:ind w:left="360" w:right="140"/>
        <w:rPr>
          <w:rFonts w:ascii="Inter" w:hAnsi="Inter" w:cs="Arial"/>
          <w:b/>
          <w:bCs/>
        </w:rPr>
      </w:pPr>
      <w:r w:rsidRPr="36F3611D">
        <w:rPr>
          <w:rFonts w:ascii="Inter" w:eastAsia="Times New Roman" w:hAnsi="Inter" w:cs="Segoe UI"/>
          <w:b/>
          <w:bCs/>
          <w:color w:val="auto"/>
          <w:kern w:val="0"/>
          <w:lang w:eastAsia="en-GB"/>
          <w14:ligatures w14:val="none"/>
        </w:rPr>
        <w:t>Core Funding</w:t>
      </w:r>
    </w:p>
    <w:p w14:paraId="642D9072" w14:textId="0547CDF2" w:rsidR="006C5025" w:rsidRPr="006C5025" w:rsidRDefault="006C5025" w:rsidP="006140B8">
      <w:pPr>
        <w:pStyle w:val="ListParagraph"/>
        <w:numPr>
          <w:ilvl w:val="0"/>
          <w:numId w:val="4"/>
        </w:numPr>
        <w:spacing w:line="276" w:lineRule="auto"/>
        <w:ind w:right="357"/>
        <w:rPr>
          <w:rFonts w:ascii="Inter" w:hAnsi="Inter" w:cs="Arial"/>
        </w:rPr>
      </w:pPr>
      <w:r w:rsidRPr="36F3611D">
        <w:rPr>
          <w:rFonts w:ascii="Inter" w:eastAsia="Times New Roman" w:hAnsi="Inter" w:cs="Segoe UI"/>
          <w:color w:val="auto"/>
          <w:kern w:val="0"/>
          <w:lang w:eastAsia="en-GB"/>
          <w14:ligatures w14:val="none"/>
        </w:rPr>
        <w:t>Devolution funding of £</w:t>
      </w:r>
      <w:r w:rsidRPr="0B810C64">
        <w:rPr>
          <w:rFonts w:ascii="Inter" w:eastAsia="Times New Roman" w:hAnsi="Inter" w:cs="Segoe UI"/>
          <w:color w:val="auto"/>
          <w:kern w:val="0"/>
          <w:lang w:eastAsia="en-GB"/>
          <w14:ligatures w14:val="none"/>
        </w:rPr>
        <w:t>15</w:t>
      </w:r>
      <w:r w:rsidR="003F4E3E" w:rsidRPr="0B810C64">
        <w:rPr>
          <w:rFonts w:ascii="Inter" w:eastAsia="Times New Roman" w:hAnsi="Inter" w:cs="Segoe UI"/>
          <w:color w:val="auto"/>
          <w:kern w:val="0"/>
          <w:lang w:eastAsia="en-GB"/>
          <w14:ligatures w14:val="none"/>
        </w:rPr>
        <w:t>m</w:t>
      </w:r>
      <w:r w:rsidRPr="36F3611D">
        <w:rPr>
          <w:rFonts w:ascii="Inter" w:eastAsia="Times New Roman" w:hAnsi="Inter" w:cs="Segoe UI"/>
          <w:color w:val="auto"/>
          <w:kern w:val="0"/>
          <w:lang w:eastAsia="en-GB"/>
          <w14:ligatures w14:val="none"/>
        </w:rPr>
        <w:t xml:space="preserve"> per year for 30 years has been secured through the devolution agreement with government</w:t>
      </w:r>
      <w:r w:rsidR="12A59E21" w:rsidRPr="0B810C64">
        <w:rPr>
          <w:rFonts w:ascii="Inter" w:eastAsia="Times New Roman" w:hAnsi="Inter" w:cs="Segoe UI"/>
          <w:color w:val="auto"/>
          <w:kern w:val="0"/>
          <w:lang w:eastAsia="en-GB"/>
          <w14:ligatures w14:val="none"/>
        </w:rPr>
        <w:t xml:space="preserve"> but is a flat rate and not index linked</w:t>
      </w:r>
      <w:r w:rsidRPr="0B810C64">
        <w:rPr>
          <w:rFonts w:ascii="Inter" w:eastAsia="Times New Roman" w:hAnsi="Inter" w:cs="Segoe UI"/>
          <w:color w:val="auto"/>
          <w:kern w:val="0"/>
          <w:lang w:eastAsia="en-GB"/>
          <w14:ligatures w14:val="none"/>
        </w:rPr>
        <w:t>.</w:t>
      </w:r>
      <w:r w:rsidRPr="36F3611D">
        <w:rPr>
          <w:rFonts w:ascii="Inter" w:eastAsia="Times New Roman" w:hAnsi="Inter" w:cs="Segoe UI"/>
          <w:color w:val="auto"/>
          <w:kern w:val="0"/>
          <w:lang w:eastAsia="en-GB"/>
          <w14:ligatures w14:val="none"/>
        </w:rPr>
        <w:t xml:space="preserve"> This funding </w:t>
      </w:r>
      <w:r w:rsidR="04EF078A" w:rsidRPr="2DFE4DF5">
        <w:rPr>
          <w:rFonts w:ascii="Inter" w:eastAsia="Inter" w:hAnsi="Inter" w:cs="Inter"/>
          <w:szCs w:val="22"/>
        </w:rPr>
        <w:t>is subject to evaluation</w:t>
      </w:r>
      <w:r w:rsidRPr="36F3611D">
        <w:rPr>
          <w:rFonts w:ascii="Inter" w:eastAsia="Times New Roman" w:hAnsi="Inter" w:cs="Segoe UI"/>
          <w:color w:val="auto"/>
          <w:kern w:val="0"/>
          <w:lang w:eastAsia="en-GB"/>
          <w14:ligatures w14:val="none"/>
        </w:rPr>
        <w:t xml:space="preserve"> every five years but is expected to continue for the full 30</w:t>
      </w:r>
      <w:r w:rsidR="72018371" w:rsidRPr="0B810C64">
        <w:rPr>
          <w:rFonts w:ascii="Inter" w:eastAsia="Times New Roman" w:hAnsi="Inter" w:cs="Segoe UI"/>
          <w:color w:val="auto"/>
          <w:kern w:val="0"/>
          <w:lang w:eastAsia="en-GB"/>
          <w14:ligatures w14:val="none"/>
        </w:rPr>
        <w:t>-</w:t>
      </w:r>
      <w:r w:rsidRPr="36F3611D">
        <w:rPr>
          <w:rFonts w:ascii="Inter" w:eastAsia="Times New Roman" w:hAnsi="Inter" w:cs="Segoe UI"/>
          <w:color w:val="auto"/>
          <w:kern w:val="0"/>
          <w:lang w:eastAsia="en-GB"/>
          <w14:ligatures w14:val="none"/>
        </w:rPr>
        <w:t>year period.</w:t>
      </w:r>
    </w:p>
    <w:p w14:paraId="1876C759" w14:textId="77777777" w:rsidR="007C22A0" w:rsidRPr="00836C4D" w:rsidRDefault="007C22A0" w:rsidP="00893A23">
      <w:pPr>
        <w:pStyle w:val="ListParagraph"/>
        <w:spacing w:line="276" w:lineRule="auto"/>
        <w:ind w:left="360" w:right="140"/>
        <w:rPr>
          <w:rFonts w:ascii="Inter" w:hAnsi="Inter" w:cs="Arial"/>
          <w:szCs w:val="22"/>
        </w:rPr>
      </w:pPr>
    </w:p>
    <w:p w14:paraId="629BF663" w14:textId="16E7E3AB" w:rsidR="00253951" w:rsidRPr="00253951" w:rsidRDefault="00253951" w:rsidP="2DFE4DF5">
      <w:pPr>
        <w:pStyle w:val="ListParagraph"/>
        <w:numPr>
          <w:ilvl w:val="0"/>
          <w:numId w:val="4"/>
        </w:numPr>
        <w:spacing w:line="276" w:lineRule="auto"/>
        <w:ind w:right="140"/>
        <w:rPr>
          <w:rFonts w:ascii="Inter" w:hAnsi="Inter" w:cs="Arial"/>
        </w:rPr>
      </w:pPr>
      <w:r w:rsidRPr="2DFE4DF5">
        <w:rPr>
          <w:rFonts w:ascii="Inter" w:hAnsi="Inter" w:cs="Arial"/>
        </w:rPr>
        <w:lastRenderedPageBreak/>
        <w:t xml:space="preserve">An Employers’ National Insurance Contributions </w:t>
      </w:r>
      <w:r w:rsidR="4F31BF31" w:rsidRPr="2DFE4DF5">
        <w:rPr>
          <w:rFonts w:ascii="Inter" w:hAnsi="Inter" w:cs="Arial"/>
        </w:rPr>
        <w:t xml:space="preserve">(NIC) </w:t>
      </w:r>
      <w:r w:rsidRPr="2DFE4DF5">
        <w:rPr>
          <w:rFonts w:ascii="Inter" w:hAnsi="Inter" w:cs="Arial"/>
        </w:rPr>
        <w:t>Grant of £</w:t>
      </w:r>
      <w:r w:rsidR="003F4E3E" w:rsidRPr="2DFE4DF5">
        <w:rPr>
          <w:rFonts w:ascii="Inter" w:hAnsi="Inter" w:cs="Arial"/>
        </w:rPr>
        <w:t>0.</w:t>
      </w:r>
      <w:r w:rsidRPr="2DFE4DF5">
        <w:rPr>
          <w:rFonts w:ascii="Inter" w:hAnsi="Inter" w:cs="Arial"/>
        </w:rPr>
        <w:t>180</w:t>
      </w:r>
      <w:r w:rsidR="00B025EA" w:rsidRPr="2DFE4DF5">
        <w:rPr>
          <w:rFonts w:ascii="Inter" w:hAnsi="Inter" w:cs="Arial"/>
        </w:rPr>
        <w:t>m has</w:t>
      </w:r>
      <w:r w:rsidRPr="2DFE4DF5">
        <w:rPr>
          <w:rFonts w:ascii="Inter" w:hAnsi="Inter" w:cs="Arial"/>
        </w:rPr>
        <w:t xml:space="preserve"> been confirmed by the Government to help offset the additional financial impact of the increase in employer NICs </w:t>
      </w:r>
      <w:r w:rsidR="00B025EA" w:rsidRPr="2DFE4DF5">
        <w:rPr>
          <w:rFonts w:ascii="Inter" w:hAnsi="Inter" w:cs="Arial"/>
        </w:rPr>
        <w:t>on authority</w:t>
      </w:r>
      <w:r w:rsidRPr="2DFE4DF5">
        <w:rPr>
          <w:rFonts w:ascii="Inter" w:hAnsi="Inter" w:cs="Arial"/>
        </w:rPr>
        <w:t xml:space="preserve"> budgets.</w:t>
      </w:r>
    </w:p>
    <w:p w14:paraId="69E3583A" w14:textId="77777777" w:rsidR="005271A8" w:rsidRPr="005271A8" w:rsidRDefault="005271A8" w:rsidP="005271A8">
      <w:pPr>
        <w:pStyle w:val="ListParagraph"/>
        <w:rPr>
          <w:rFonts w:ascii="Inter" w:hAnsi="Inter" w:cs="Arial"/>
          <w:szCs w:val="22"/>
        </w:rPr>
      </w:pPr>
    </w:p>
    <w:p w14:paraId="6458372A" w14:textId="4288DF04" w:rsidR="00443BF8" w:rsidRPr="00253951" w:rsidRDefault="6C36B2D6" w:rsidP="78411636">
      <w:pPr>
        <w:pStyle w:val="ListParagraph"/>
        <w:spacing w:line="276" w:lineRule="auto"/>
        <w:ind w:left="360" w:right="140"/>
        <w:rPr>
          <w:rFonts w:ascii="Inter" w:hAnsi="Inter" w:cs="Arial"/>
          <w:b/>
        </w:rPr>
      </w:pPr>
      <w:r w:rsidRPr="543ED648">
        <w:rPr>
          <w:rFonts w:ascii="Inter" w:hAnsi="Inter" w:cs="Arial"/>
          <w:b/>
        </w:rPr>
        <w:t>Mayoral Capacity Funding</w:t>
      </w:r>
    </w:p>
    <w:p w14:paraId="2410016C" w14:textId="137606D4" w:rsidR="00443BF8" w:rsidRPr="00253951" w:rsidRDefault="000B6858" w:rsidP="2DFE4DF5">
      <w:pPr>
        <w:pStyle w:val="ListParagraph"/>
        <w:numPr>
          <w:ilvl w:val="0"/>
          <w:numId w:val="4"/>
        </w:numPr>
        <w:spacing w:line="276" w:lineRule="auto"/>
        <w:ind w:right="140"/>
        <w:rPr>
          <w:rFonts w:ascii="Inter" w:hAnsi="Inter" w:cs="Arial"/>
        </w:rPr>
      </w:pPr>
      <w:r w:rsidRPr="2DFE4DF5">
        <w:rPr>
          <w:rFonts w:ascii="Inter" w:hAnsi="Inter" w:cs="Arial"/>
        </w:rPr>
        <w:t>Mayoral Capacity Funding of £1.5</w:t>
      </w:r>
      <w:r w:rsidR="00F736F6" w:rsidRPr="2DFE4DF5">
        <w:rPr>
          <w:rFonts w:ascii="Inter" w:hAnsi="Inter" w:cs="Arial"/>
        </w:rPr>
        <w:t>00</w:t>
      </w:r>
      <w:r w:rsidRPr="2DFE4DF5">
        <w:rPr>
          <w:rFonts w:ascii="Inter" w:hAnsi="Inter" w:cs="Arial"/>
        </w:rPr>
        <w:t>m has been confirmed for 2026/27</w:t>
      </w:r>
      <w:r w:rsidR="21BB8E2A" w:rsidRPr="2DFE4DF5">
        <w:rPr>
          <w:rFonts w:ascii="Inter" w:hAnsi="Inter" w:cs="Arial"/>
        </w:rPr>
        <w:t xml:space="preserve"> in the provisional Local Government Settlement announced on 19 December 2025.</w:t>
      </w:r>
    </w:p>
    <w:p w14:paraId="2469A83F" w14:textId="330902BB" w:rsidR="007668E5" w:rsidRPr="003B7B64" w:rsidRDefault="007668E5" w:rsidP="003B7B64">
      <w:pPr>
        <w:spacing w:line="276" w:lineRule="auto"/>
        <w:ind w:right="140"/>
        <w:rPr>
          <w:rFonts w:ascii="Inter" w:hAnsi="Inter" w:cs="Arial"/>
          <w:b/>
        </w:rPr>
      </w:pPr>
    </w:p>
    <w:p w14:paraId="7B587E2E" w14:textId="6BB1BBF6" w:rsidR="00C82C94" w:rsidRPr="00FD166B" w:rsidRDefault="2A1D1916" w:rsidP="5929E3AB">
      <w:pPr>
        <w:pStyle w:val="ListParagraph"/>
        <w:spacing w:line="276" w:lineRule="auto"/>
        <w:ind w:left="360" w:right="140"/>
        <w:rPr>
          <w:rFonts w:ascii="Inter" w:hAnsi="Inter" w:cs="Arial"/>
          <w:b/>
          <w:bCs/>
        </w:rPr>
      </w:pPr>
      <w:r w:rsidRPr="00FD166B">
        <w:rPr>
          <w:rFonts w:ascii="Inter" w:hAnsi="Inter" w:cs="Arial"/>
          <w:b/>
          <w:bCs/>
        </w:rPr>
        <w:t>Specific Grant Income</w:t>
      </w:r>
    </w:p>
    <w:p w14:paraId="4235D40C" w14:textId="2C8E6B4B" w:rsidR="00C82C94" w:rsidRPr="00FD166B" w:rsidRDefault="008F214F" w:rsidP="2DFE4DF5">
      <w:pPr>
        <w:pStyle w:val="ListParagraph"/>
        <w:numPr>
          <w:ilvl w:val="0"/>
          <w:numId w:val="4"/>
        </w:numPr>
        <w:spacing w:line="276" w:lineRule="auto"/>
        <w:ind w:right="140"/>
        <w:rPr>
          <w:rFonts w:ascii="Inter" w:hAnsi="Inter" w:cs="Arial"/>
        </w:rPr>
      </w:pPr>
      <w:r w:rsidRPr="00FD166B">
        <w:rPr>
          <w:rFonts w:ascii="Inter" w:hAnsi="Inter" w:cs="Arial"/>
        </w:rPr>
        <w:t>TVCA receive</w:t>
      </w:r>
      <w:r w:rsidR="163199C1" w:rsidRPr="00FD166B">
        <w:rPr>
          <w:rFonts w:ascii="Inter" w:hAnsi="Inter" w:cs="Arial"/>
        </w:rPr>
        <w:t>s revenue</w:t>
      </w:r>
      <w:r w:rsidR="00405ED4" w:rsidRPr="00FD166B">
        <w:rPr>
          <w:rFonts w:ascii="Inter" w:hAnsi="Inter" w:cs="Arial"/>
        </w:rPr>
        <w:t xml:space="preserve"> grants from Government </w:t>
      </w:r>
      <w:r w:rsidR="004F0589" w:rsidRPr="00FD166B">
        <w:rPr>
          <w:rFonts w:ascii="Inter" w:hAnsi="Inter" w:cs="Arial"/>
        </w:rPr>
        <w:t xml:space="preserve">to </w:t>
      </w:r>
      <w:r w:rsidR="7A4EF961" w:rsidRPr="00FD166B">
        <w:rPr>
          <w:rFonts w:ascii="Inter" w:hAnsi="Inter" w:cs="Arial"/>
        </w:rPr>
        <w:t xml:space="preserve">deliver specific programmes and initiatives in the region. </w:t>
      </w:r>
      <w:r w:rsidR="00DA4CF2" w:rsidRPr="00FD166B">
        <w:rPr>
          <w:rFonts w:ascii="Inter" w:hAnsi="Inter" w:cs="Arial"/>
        </w:rPr>
        <w:t xml:space="preserve"> </w:t>
      </w:r>
      <w:r w:rsidR="492EF7E8" w:rsidRPr="00FD166B">
        <w:rPr>
          <w:rFonts w:ascii="Inter" w:hAnsi="Inter" w:cs="Arial"/>
        </w:rPr>
        <w:t>T</w:t>
      </w:r>
      <w:r w:rsidR="00DF4EBE" w:rsidRPr="00FD166B">
        <w:rPr>
          <w:rFonts w:ascii="Inter" w:hAnsi="Inter" w:cs="Arial"/>
        </w:rPr>
        <w:t xml:space="preserve">he below table shows the </w:t>
      </w:r>
      <w:r w:rsidR="0022503A" w:rsidRPr="00FD166B">
        <w:rPr>
          <w:rFonts w:ascii="Inter" w:hAnsi="Inter" w:cs="Arial"/>
        </w:rPr>
        <w:t>known grant income for 2026/27</w:t>
      </w:r>
      <w:r w:rsidR="00BE7556" w:rsidRPr="00FD166B">
        <w:rPr>
          <w:rFonts w:ascii="Inter" w:hAnsi="Inter" w:cs="Arial"/>
        </w:rPr>
        <w:t xml:space="preserve"> by </w:t>
      </w:r>
      <w:r w:rsidR="1D48F216" w:rsidRPr="00FD166B">
        <w:rPr>
          <w:rFonts w:ascii="Inter" w:hAnsi="Inter" w:cs="Arial"/>
        </w:rPr>
        <w:t>Directorate</w:t>
      </w:r>
      <w:r w:rsidR="0022503A" w:rsidRPr="00FD166B">
        <w:rPr>
          <w:rFonts w:ascii="Inter" w:hAnsi="Inter" w:cs="Arial"/>
        </w:rPr>
        <w:t>.</w:t>
      </w:r>
      <w:r w:rsidR="009C6474" w:rsidRPr="00FD166B">
        <w:rPr>
          <w:rFonts w:ascii="Inter" w:hAnsi="Inter" w:cs="Arial"/>
        </w:rPr>
        <w:t xml:space="preserve"> Further details on the grant </w:t>
      </w:r>
      <w:r w:rsidR="00963D9D" w:rsidRPr="00FD166B">
        <w:rPr>
          <w:rFonts w:ascii="Inter" w:hAnsi="Inter" w:cs="Arial"/>
        </w:rPr>
        <w:t>are</w:t>
      </w:r>
      <w:r w:rsidR="009C6474" w:rsidRPr="00FD166B">
        <w:rPr>
          <w:rFonts w:ascii="Inter" w:hAnsi="Inter" w:cs="Arial"/>
        </w:rPr>
        <w:t xml:space="preserve"> provided below.</w:t>
      </w:r>
    </w:p>
    <w:p w14:paraId="0889FF4E" w14:textId="77777777" w:rsidR="00465B9D" w:rsidRDefault="00465B9D" w:rsidP="00BE4985">
      <w:pPr>
        <w:spacing w:line="276" w:lineRule="auto"/>
        <w:ind w:right="140"/>
        <w:rPr>
          <w:rFonts w:ascii="Inter" w:hAnsi="Inter" w:cs="Arial"/>
          <w:b/>
          <w:bCs/>
        </w:rPr>
      </w:pPr>
    </w:p>
    <w:p w14:paraId="39D14B75" w14:textId="77777777" w:rsidR="004B5CE5" w:rsidRDefault="004B5CE5" w:rsidP="00BE4985">
      <w:pPr>
        <w:spacing w:line="276" w:lineRule="auto"/>
        <w:ind w:right="140"/>
        <w:jc w:val="center"/>
        <w:rPr>
          <w:rFonts w:ascii="Inter" w:hAnsi="Inter" w:cs="Arial"/>
          <w:b/>
          <w:bCs/>
        </w:rPr>
      </w:pPr>
    </w:p>
    <w:p w14:paraId="36FB174A" w14:textId="17A746F1" w:rsidR="00BE4985" w:rsidRPr="00D34BDB" w:rsidRDefault="00BE4985" w:rsidP="00BE4985">
      <w:pPr>
        <w:spacing w:line="276" w:lineRule="auto"/>
        <w:ind w:right="140"/>
        <w:jc w:val="center"/>
        <w:rPr>
          <w:rFonts w:ascii="Inter" w:hAnsi="Inter" w:cs="Arial"/>
          <w:b/>
          <w:bCs/>
        </w:rPr>
      </w:pPr>
      <w:r w:rsidRPr="00D34BDB">
        <w:rPr>
          <w:rFonts w:ascii="Inter" w:hAnsi="Inter" w:cs="Arial"/>
          <w:b/>
          <w:bCs/>
        </w:rPr>
        <w:t xml:space="preserve">Table </w:t>
      </w:r>
      <w:r w:rsidR="00706E76">
        <w:rPr>
          <w:rFonts w:ascii="Inter" w:hAnsi="Inter" w:cs="Arial"/>
          <w:b/>
          <w:bCs/>
        </w:rPr>
        <w:t>6</w:t>
      </w:r>
      <w:r w:rsidRPr="00D34BDB">
        <w:rPr>
          <w:rFonts w:ascii="Inter" w:hAnsi="Inter" w:cs="Arial"/>
          <w:b/>
          <w:bCs/>
        </w:rPr>
        <w:t xml:space="preserve"> Summary of TVCA 2026/27 Revenue </w:t>
      </w:r>
      <w:r w:rsidR="00F121A2">
        <w:rPr>
          <w:rFonts w:ascii="Inter" w:hAnsi="Inter" w:cs="Arial"/>
          <w:b/>
          <w:bCs/>
        </w:rPr>
        <w:t>Grants</w:t>
      </w:r>
    </w:p>
    <w:p w14:paraId="1ED8F818" w14:textId="77777777" w:rsidR="00BE7556" w:rsidRPr="00533F16" w:rsidRDefault="00BE7556" w:rsidP="00BE7556">
      <w:pPr>
        <w:pStyle w:val="ListParagraph"/>
        <w:spacing w:line="276" w:lineRule="auto"/>
        <w:ind w:left="360" w:right="140"/>
        <w:rPr>
          <w:rFonts w:ascii="Inter" w:hAnsi="Inter" w:cs="Arial"/>
          <w:b/>
          <w:bCs/>
        </w:rPr>
      </w:pPr>
    </w:p>
    <w:tbl>
      <w:tblPr>
        <w:tblW w:w="7530" w:type="dxa"/>
        <w:jc w:val="center"/>
        <w:tblLook w:val="04A0" w:firstRow="1" w:lastRow="0" w:firstColumn="1" w:lastColumn="0" w:noHBand="0" w:noVBand="1"/>
      </w:tblPr>
      <w:tblGrid>
        <w:gridCol w:w="4128"/>
        <w:gridCol w:w="3402"/>
      </w:tblGrid>
      <w:tr w:rsidR="00F643F1" w:rsidRPr="0012498E" w14:paraId="27E0943B" w14:textId="77777777" w:rsidTr="2DFE4DF5">
        <w:trPr>
          <w:trHeight w:val="220"/>
          <w:jc w:val="center"/>
        </w:trPr>
        <w:tc>
          <w:tcPr>
            <w:tcW w:w="4128" w:type="dxa"/>
            <w:tcBorders>
              <w:top w:val="single" w:sz="12" w:space="0" w:color="auto"/>
              <w:left w:val="single" w:sz="12" w:space="0" w:color="auto"/>
              <w:bottom w:val="nil"/>
              <w:right w:val="nil"/>
            </w:tcBorders>
            <w:shd w:val="clear" w:color="auto" w:fill="E8E8E8"/>
            <w:noWrap/>
            <w:vAlign w:val="bottom"/>
            <w:hideMark/>
          </w:tcPr>
          <w:p w14:paraId="3D6DCEC1" w14:textId="77777777" w:rsidR="00F643F1" w:rsidRPr="0012498E" w:rsidRDefault="00F643F1" w:rsidP="00F643F1">
            <w:pP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Government Grants</w:t>
            </w:r>
          </w:p>
        </w:tc>
        <w:tc>
          <w:tcPr>
            <w:tcW w:w="3402" w:type="dxa"/>
            <w:tcBorders>
              <w:top w:val="single" w:sz="12" w:space="0" w:color="auto"/>
              <w:left w:val="single" w:sz="12" w:space="0" w:color="auto"/>
              <w:bottom w:val="nil"/>
              <w:right w:val="single" w:sz="12" w:space="0" w:color="auto"/>
            </w:tcBorders>
            <w:shd w:val="clear" w:color="auto" w:fill="E8E8E8"/>
            <w:hideMark/>
          </w:tcPr>
          <w:p w14:paraId="38A187B9" w14:textId="72E8F553" w:rsidR="00F643F1" w:rsidRPr="0012498E" w:rsidRDefault="00F643F1" w:rsidP="00F643F1">
            <w:pPr>
              <w:jc w:val="cente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Budget 2026/27</w:t>
            </w:r>
          </w:p>
        </w:tc>
      </w:tr>
      <w:tr w:rsidR="00F643F1" w:rsidRPr="0012498E" w14:paraId="3CE0A76C" w14:textId="77777777" w:rsidTr="2DFE4DF5">
        <w:trPr>
          <w:trHeight w:val="220"/>
          <w:jc w:val="center"/>
        </w:trPr>
        <w:tc>
          <w:tcPr>
            <w:tcW w:w="4128" w:type="dxa"/>
            <w:tcBorders>
              <w:top w:val="nil"/>
              <w:left w:val="single" w:sz="12" w:space="0" w:color="auto"/>
              <w:bottom w:val="nil"/>
              <w:right w:val="nil"/>
            </w:tcBorders>
            <w:shd w:val="clear" w:color="auto" w:fill="E8E8E8"/>
            <w:noWrap/>
            <w:vAlign w:val="bottom"/>
            <w:hideMark/>
          </w:tcPr>
          <w:p w14:paraId="6DA374F8" w14:textId="77777777" w:rsidR="00F643F1" w:rsidRPr="0012498E" w:rsidRDefault="00F643F1" w:rsidP="00F643F1">
            <w:pP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 </w:t>
            </w:r>
          </w:p>
        </w:tc>
        <w:tc>
          <w:tcPr>
            <w:tcW w:w="3402" w:type="dxa"/>
            <w:tcBorders>
              <w:top w:val="nil"/>
              <w:left w:val="single" w:sz="12" w:space="0" w:color="auto"/>
              <w:bottom w:val="single" w:sz="8" w:space="0" w:color="auto"/>
              <w:right w:val="single" w:sz="12" w:space="0" w:color="auto"/>
            </w:tcBorders>
            <w:shd w:val="clear" w:color="auto" w:fill="E8E8E8"/>
            <w:noWrap/>
            <w:vAlign w:val="bottom"/>
            <w:hideMark/>
          </w:tcPr>
          <w:p w14:paraId="32CB509F" w14:textId="77777777" w:rsidR="00F643F1" w:rsidRPr="0012498E" w:rsidRDefault="00F643F1" w:rsidP="00F643F1">
            <w:pPr>
              <w:jc w:val="cente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£'000</w:t>
            </w:r>
          </w:p>
        </w:tc>
      </w:tr>
      <w:tr w:rsidR="00F643F1" w:rsidRPr="0012498E" w14:paraId="48628397" w14:textId="77777777" w:rsidTr="2DFE4DF5">
        <w:trPr>
          <w:trHeight w:val="224"/>
          <w:jc w:val="center"/>
        </w:trPr>
        <w:tc>
          <w:tcPr>
            <w:tcW w:w="4128" w:type="dxa"/>
            <w:tcBorders>
              <w:top w:val="single" w:sz="8" w:space="0" w:color="auto"/>
              <w:left w:val="single" w:sz="12" w:space="0" w:color="auto"/>
              <w:bottom w:val="single" w:sz="4" w:space="0" w:color="auto"/>
              <w:right w:val="single" w:sz="8" w:space="0" w:color="auto"/>
            </w:tcBorders>
            <w:shd w:val="clear" w:color="auto" w:fill="E8E8E8"/>
            <w:vAlign w:val="bottom"/>
            <w:hideMark/>
          </w:tcPr>
          <w:p w14:paraId="1183B4E7" w14:textId="47517CEB" w:rsidR="00F643F1" w:rsidRPr="0012498E" w:rsidRDefault="74F6273B" w:rsidP="00F643F1">
            <w:pP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Business Solutions</w:t>
            </w:r>
            <w:r w:rsidR="00849541" w:rsidRPr="0012498E">
              <w:rPr>
                <w:rFonts w:eastAsia="Times New Roman" w:cs="Times New Roman"/>
                <w:b/>
                <w:bCs/>
                <w:color w:val="000000"/>
                <w:kern w:val="0"/>
                <w:sz w:val="20"/>
                <w:szCs w:val="20"/>
                <w:lang w:eastAsia="en-GB"/>
                <w14:ligatures w14:val="none"/>
              </w:rPr>
              <w:t xml:space="preserve"> (non-I</w:t>
            </w:r>
            <w:r w:rsidR="5213F5E1" w:rsidRPr="0012498E">
              <w:rPr>
                <w:rFonts w:eastAsia="Times New Roman" w:cs="Times New Roman"/>
                <w:b/>
                <w:bCs/>
                <w:color w:val="000000"/>
                <w:kern w:val="0"/>
                <w:sz w:val="20"/>
                <w:szCs w:val="20"/>
                <w:lang w:eastAsia="en-GB"/>
                <w14:ligatures w14:val="none"/>
              </w:rPr>
              <w:t>nvestment Zone</w:t>
            </w:r>
            <w:r w:rsidR="00849541" w:rsidRPr="0012498E">
              <w:rPr>
                <w:rFonts w:eastAsia="Times New Roman" w:cs="Times New Roman"/>
                <w:b/>
                <w:bCs/>
                <w:color w:val="000000"/>
                <w:kern w:val="0"/>
                <w:sz w:val="20"/>
                <w:szCs w:val="20"/>
                <w:lang w:eastAsia="en-GB"/>
                <w14:ligatures w14:val="none"/>
              </w:rPr>
              <w:t>)</w:t>
            </w:r>
          </w:p>
        </w:tc>
        <w:tc>
          <w:tcPr>
            <w:tcW w:w="3402" w:type="dxa"/>
            <w:tcBorders>
              <w:top w:val="nil"/>
              <w:left w:val="nil"/>
              <w:bottom w:val="single" w:sz="4" w:space="0" w:color="auto"/>
              <w:right w:val="single" w:sz="12" w:space="0" w:color="auto"/>
            </w:tcBorders>
            <w:noWrap/>
            <w:vAlign w:val="bottom"/>
            <w:hideMark/>
          </w:tcPr>
          <w:p w14:paraId="04BFAD28" w14:textId="77777777" w:rsidR="00F643F1" w:rsidRPr="0012498E" w:rsidRDefault="00F643F1" w:rsidP="00F643F1">
            <w:pP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 </w:t>
            </w:r>
          </w:p>
        </w:tc>
      </w:tr>
      <w:tr w:rsidR="00FD15B1" w:rsidRPr="0012498E" w14:paraId="20D67E91" w14:textId="77777777" w:rsidTr="2DFE4DF5">
        <w:trPr>
          <w:trHeight w:val="210"/>
          <w:jc w:val="center"/>
        </w:trPr>
        <w:tc>
          <w:tcPr>
            <w:tcW w:w="4128" w:type="dxa"/>
            <w:tcBorders>
              <w:top w:val="single" w:sz="4" w:space="0" w:color="auto"/>
              <w:left w:val="single" w:sz="12" w:space="0" w:color="auto"/>
              <w:bottom w:val="single" w:sz="4" w:space="0" w:color="auto"/>
              <w:right w:val="single" w:sz="8" w:space="0" w:color="auto"/>
            </w:tcBorders>
            <w:shd w:val="clear" w:color="auto" w:fill="E8E8E8"/>
            <w:vAlign w:val="bottom"/>
            <w:hideMark/>
          </w:tcPr>
          <w:p w14:paraId="065F0A35" w14:textId="517C8D0C" w:rsidR="00FD15B1" w:rsidRPr="0012498E" w:rsidRDefault="6E7B0E5F"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B</w:t>
            </w:r>
            <w:r w:rsidR="2FC4F0FF" w:rsidRPr="0012498E">
              <w:rPr>
                <w:rFonts w:eastAsia="Times New Roman" w:cs="Times New Roman"/>
                <w:color w:val="000000"/>
                <w:kern w:val="0"/>
                <w:sz w:val="20"/>
                <w:szCs w:val="20"/>
                <w:lang w:eastAsia="en-GB"/>
                <w14:ligatures w14:val="none"/>
              </w:rPr>
              <w:t>usiness growth hub</w:t>
            </w:r>
          </w:p>
        </w:tc>
        <w:tc>
          <w:tcPr>
            <w:tcW w:w="3402" w:type="dxa"/>
            <w:tcBorders>
              <w:top w:val="nil"/>
              <w:left w:val="nil"/>
              <w:bottom w:val="single" w:sz="4" w:space="0" w:color="auto"/>
              <w:right w:val="single" w:sz="12" w:space="0" w:color="auto"/>
            </w:tcBorders>
            <w:noWrap/>
            <w:vAlign w:val="bottom"/>
            <w:hideMark/>
          </w:tcPr>
          <w:p w14:paraId="07173846" w14:textId="4D099292"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(315) </w:t>
            </w:r>
          </w:p>
        </w:tc>
      </w:tr>
      <w:tr w:rsidR="00FD15B1" w:rsidRPr="0012498E" w14:paraId="0567EC27" w14:textId="77777777" w:rsidTr="2DFE4DF5">
        <w:trPr>
          <w:trHeight w:val="21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5FC24FCC" w14:textId="576EBDD2" w:rsidR="00FD15B1" w:rsidRPr="0012498E" w:rsidRDefault="00963D9D"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B</w:t>
            </w:r>
            <w:r w:rsidR="71CC9618" w:rsidRPr="0012498E">
              <w:rPr>
                <w:rFonts w:eastAsia="Times New Roman" w:cs="Times New Roman"/>
                <w:color w:val="000000"/>
                <w:kern w:val="0"/>
                <w:sz w:val="20"/>
                <w:szCs w:val="20"/>
                <w:lang w:eastAsia="en-GB"/>
                <w14:ligatures w14:val="none"/>
              </w:rPr>
              <w:t>EIS</w:t>
            </w:r>
            <w:r w:rsidRPr="0012498E">
              <w:rPr>
                <w:rFonts w:eastAsia="Times New Roman" w:cs="Times New Roman"/>
                <w:color w:val="000000"/>
                <w:kern w:val="0"/>
                <w:sz w:val="20"/>
                <w:szCs w:val="20"/>
                <w:lang w:eastAsia="en-GB"/>
                <w14:ligatures w14:val="none"/>
              </w:rPr>
              <w:t>’s</w:t>
            </w:r>
            <w:r w:rsidR="63E0CF4C" w:rsidRPr="0012498E">
              <w:rPr>
                <w:rFonts w:eastAsia="Times New Roman" w:cs="Times New Roman"/>
                <w:color w:val="000000"/>
                <w:kern w:val="0"/>
                <w:sz w:val="20"/>
                <w:szCs w:val="20"/>
                <w:lang w:eastAsia="en-GB"/>
                <w14:ligatures w14:val="none"/>
              </w:rPr>
              <w:t xml:space="preserve"> net zero hub</w:t>
            </w:r>
          </w:p>
        </w:tc>
        <w:tc>
          <w:tcPr>
            <w:tcW w:w="3402" w:type="dxa"/>
            <w:tcBorders>
              <w:top w:val="nil"/>
              <w:left w:val="nil"/>
              <w:bottom w:val="single" w:sz="4" w:space="0" w:color="auto"/>
              <w:right w:val="single" w:sz="12" w:space="0" w:color="auto"/>
            </w:tcBorders>
            <w:noWrap/>
            <w:vAlign w:val="bottom"/>
            <w:hideMark/>
          </w:tcPr>
          <w:p w14:paraId="3C7C3E1E" w14:textId="1845CDF7"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(1,125) </w:t>
            </w:r>
          </w:p>
        </w:tc>
      </w:tr>
      <w:tr w:rsidR="00FD15B1" w:rsidRPr="0012498E" w14:paraId="575B5196" w14:textId="77777777" w:rsidTr="2DFE4DF5">
        <w:trPr>
          <w:trHeight w:val="21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7EDB532E" w14:textId="55B70507" w:rsidR="00FD15B1" w:rsidRPr="0012498E" w:rsidRDefault="23444E05"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S</w:t>
            </w:r>
            <w:r w:rsidR="2FC4F0FF" w:rsidRPr="0012498E">
              <w:rPr>
                <w:rFonts w:eastAsia="Times New Roman" w:cs="Times New Roman"/>
                <w:color w:val="000000"/>
                <w:kern w:val="0"/>
                <w:sz w:val="20"/>
                <w:szCs w:val="20"/>
                <w:lang w:eastAsia="en-GB"/>
                <w14:ligatures w14:val="none"/>
              </w:rPr>
              <w:t>kills bootcamp</w:t>
            </w:r>
          </w:p>
        </w:tc>
        <w:tc>
          <w:tcPr>
            <w:tcW w:w="3402" w:type="dxa"/>
            <w:tcBorders>
              <w:top w:val="nil"/>
              <w:left w:val="nil"/>
              <w:bottom w:val="single" w:sz="4" w:space="0" w:color="auto"/>
              <w:right w:val="single" w:sz="12" w:space="0" w:color="auto"/>
            </w:tcBorders>
            <w:noWrap/>
            <w:vAlign w:val="bottom"/>
            <w:hideMark/>
          </w:tcPr>
          <w:p w14:paraId="3F1302B3" w14:textId="6BB3D90B"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(3,912) </w:t>
            </w:r>
          </w:p>
        </w:tc>
      </w:tr>
      <w:tr w:rsidR="00FD15B1" w:rsidRPr="0012498E" w14:paraId="7BA4B459" w14:textId="77777777" w:rsidTr="2DFE4DF5">
        <w:trPr>
          <w:trHeight w:val="21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6555C90C" w14:textId="2EA9DF51" w:rsidR="00FD15B1" w:rsidRPr="0012498E" w:rsidRDefault="235D924A"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A</w:t>
            </w:r>
            <w:r w:rsidR="2FC4F0FF" w:rsidRPr="0012498E">
              <w:rPr>
                <w:rFonts w:eastAsia="Times New Roman" w:cs="Times New Roman"/>
                <w:color w:val="000000"/>
                <w:kern w:val="0"/>
                <w:sz w:val="20"/>
                <w:szCs w:val="20"/>
                <w:lang w:eastAsia="en-GB"/>
                <w14:ligatures w14:val="none"/>
              </w:rPr>
              <w:t>dult education budget</w:t>
            </w:r>
          </w:p>
        </w:tc>
        <w:tc>
          <w:tcPr>
            <w:tcW w:w="3402" w:type="dxa"/>
            <w:tcBorders>
              <w:top w:val="nil"/>
              <w:left w:val="nil"/>
              <w:bottom w:val="single" w:sz="4" w:space="0" w:color="auto"/>
              <w:right w:val="single" w:sz="12" w:space="0" w:color="auto"/>
            </w:tcBorders>
            <w:noWrap/>
            <w:vAlign w:val="bottom"/>
            <w:hideMark/>
          </w:tcPr>
          <w:p w14:paraId="270EBE3B" w14:textId="558CFDDD"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(29,969) </w:t>
            </w:r>
          </w:p>
        </w:tc>
      </w:tr>
      <w:tr w:rsidR="00FD15B1" w:rsidRPr="0012498E" w14:paraId="45A82801" w14:textId="77777777" w:rsidTr="2DFE4DF5">
        <w:trPr>
          <w:trHeight w:val="21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78A7AF24" w14:textId="344C4C26" w:rsidR="00FD15B1" w:rsidRPr="0012498E" w:rsidRDefault="70F376B8"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L</w:t>
            </w:r>
            <w:r w:rsidR="2FC4F0FF" w:rsidRPr="0012498E">
              <w:rPr>
                <w:rFonts w:eastAsia="Times New Roman" w:cs="Times New Roman"/>
                <w:color w:val="000000"/>
                <w:kern w:val="0"/>
                <w:sz w:val="20"/>
                <w:szCs w:val="20"/>
                <w:lang w:eastAsia="en-GB"/>
                <w14:ligatures w14:val="none"/>
              </w:rPr>
              <w:t xml:space="preserve">evel 3 </w:t>
            </w:r>
            <w:r w:rsidR="4CAFAE09" w:rsidRPr="0012498E">
              <w:rPr>
                <w:rFonts w:eastAsia="Times New Roman" w:cs="Times New Roman"/>
                <w:color w:val="000000"/>
                <w:kern w:val="0"/>
                <w:sz w:val="20"/>
                <w:szCs w:val="20"/>
                <w:lang w:eastAsia="en-GB"/>
                <w14:ligatures w14:val="none"/>
              </w:rPr>
              <w:t>FCFI</w:t>
            </w:r>
          </w:p>
        </w:tc>
        <w:tc>
          <w:tcPr>
            <w:tcW w:w="3402" w:type="dxa"/>
            <w:tcBorders>
              <w:top w:val="nil"/>
              <w:left w:val="nil"/>
              <w:bottom w:val="single" w:sz="4" w:space="0" w:color="auto"/>
              <w:right w:val="single" w:sz="12" w:space="0" w:color="auto"/>
            </w:tcBorders>
            <w:noWrap/>
            <w:vAlign w:val="bottom"/>
            <w:hideMark/>
          </w:tcPr>
          <w:p w14:paraId="53F6FF2C" w14:textId="54C546A3"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(2,174) </w:t>
            </w:r>
          </w:p>
        </w:tc>
      </w:tr>
      <w:tr w:rsidR="00FD15B1" w:rsidRPr="0012498E" w14:paraId="5CF3AFA1" w14:textId="77777777" w:rsidTr="2DFE4DF5">
        <w:trPr>
          <w:trHeight w:val="21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5F139337" w14:textId="722C2774" w:rsidR="00FD15B1" w:rsidRPr="0012498E" w:rsidRDefault="73954905"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CEC</w:t>
            </w:r>
            <w:r w:rsidR="2FC4F0FF" w:rsidRPr="0012498E">
              <w:rPr>
                <w:rFonts w:eastAsia="Times New Roman" w:cs="Times New Roman"/>
                <w:color w:val="000000"/>
                <w:kern w:val="0"/>
                <w:sz w:val="20"/>
                <w:szCs w:val="20"/>
                <w:lang w:eastAsia="en-GB"/>
                <w14:ligatures w14:val="none"/>
              </w:rPr>
              <w:t xml:space="preserve"> central hub</w:t>
            </w:r>
          </w:p>
        </w:tc>
        <w:tc>
          <w:tcPr>
            <w:tcW w:w="3402" w:type="dxa"/>
            <w:tcBorders>
              <w:top w:val="nil"/>
              <w:left w:val="nil"/>
              <w:bottom w:val="single" w:sz="4" w:space="0" w:color="auto"/>
              <w:right w:val="single" w:sz="12" w:space="0" w:color="auto"/>
            </w:tcBorders>
            <w:noWrap/>
            <w:vAlign w:val="bottom"/>
            <w:hideMark/>
          </w:tcPr>
          <w:p w14:paraId="0D03918E" w14:textId="7181400B"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(293) </w:t>
            </w:r>
          </w:p>
        </w:tc>
      </w:tr>
      <w:tr w:rsidR="00FD15B1" w:rsidRPr="0012498E" w14:paraId="1487A865" w14:textId="77777777" w:rsidTr="2DFE4DF5">
        <w:trPr>
          <w:trHeight w:val="21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0BA5926D" w14:textId="59960C06" w:rsidR="00FD15B1" w:rsidRPr="0012498E" w:rsidRDefault="625402DE"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Y</w:t>
            </w:r>
            <w:r w:rsidR="2FC4F0FF" w:rsidRPr="0012498E">
              <w:rPr>
                <w:rFonts w:eastAsia="Times New Roman" w:cs="Times New Roman"/>
                <w:color w:val="000000"/>
                <w:kern w:val="0"/>
                <w:sz w:val="20"/>
                <w:szCs w:val="20"/>
                <w:lang w:eastAsia="en-GB"/>
                <w14:ligatures w14:val="none"/>
              </w:rPr>
              <w:t>outh trail blazer</w:t>
            </w:r>
          </w:p>
        </w:tc>
        <w:tc>
          <w:tcPr>
            <w:tcW w:w="3402" w:type="dxa"/>
            <w:tcBorders>
              <w:top w:val="nil"/>
              <w:left w:val="nil"/>
              <w:bottom w:val="single" w:sz="4" w:space="0" w:color="auto"/>
              <w:right w:val="single" w:sz="12" w:space="0" w:color="auto"/>
            </w:tcBorders>
            <w:noWrap/>
            <w:vAlign w:val="bottom"/>
            <w:hideMark/>
          </w:tcPr>
          <w:p w14:paraId="69EF1864" w14:textId="64EE997B"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(4,769) </w:t>
            </w:r>
          </w:p>
        </w:tc>
      </w:tr>
      <w:tr w:rsidR="00FD15B1" w:rsidRPr="0012498E" w14:paraId="57AB4168" w14:textId="77777777" w:rsidTr="2DFE4DF5">
        <w:trPr>
          <w:trHeight w:val="21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3353EC08" w14:textId="415576F3" w:rsidR="00FD15B1" w:rsidRPr="0012498E" w:rsidRDefault="16E4A8B5"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C</w:t>
            </w:r>
            <w:r w:rsidR="2FC4F0FF" w:rsidRPr="0012498E">
              <w:rPr>
                <w:rFonts w:eastAsia="Times New Roman" w:cs="Times New Roman"/>
                <w:color w:val="000000"/>
                <w:kern w:val="0"/>
                <w:sz w:val="20"/>
                <w:szCs w:val="20"/>
                <w:lang w:eastAsia="en-GB"/>
                <w14:ligatures w14:val="none"/>
              </w:rPr>
              <w:t>onnect to work</w:t>
            </w:r>
          </w:p>
        </w:tc>
        <w:tc>
          <w:tcPr>
            <w:tcW w:w="3402" w:type="dxa"/>
            <w:tcBorders>
              <w:top w:val="nil"/>
              <w:left w:val="nil"/>
              <w:bottom w:val="single" w:sz="4" w:space="0" w:color="auto"/>
              <w:right w:val="single" w:sz="12" w:space="0" w:color="auto"/>
            </w:tcBorders>
            <w:noWrap/>
            <w:vAlign w:val="bottom"/>
            <w:hideMark/>
          </w:tcPr>
          <w:p w14:paraId="3592B15E" w14:textId="2BFF9B3C"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(4,000) </w:t>
            </w:r>
          </w:p>
        </w:tc>
      </w:tr>
      <w:tr w:rsidR="00FD15B1" w:rsidRPr="0012498E" w14:paraId="37489081" w14:textId="77777777" w:rsidTr="2DFE4DF5">
        <w:trPr>
          <w:trHeight w:val="220"/>
          <w:jc w:val="center"/>
        </w:trPr>
        <w:tc>
          <w:tcPr>
            <w:tcW w:w="4128" w:type="dxa"/>
            <w:tcBorders>
              <w:top w:val="nil"/>
              <w:left w:val="single" w:sz="12" w:space="0" w:color="auto"/>
              <w:bottom w:val="single" w:sz="4" w:space="0" w:color="000000" w:themeColor="text2"/>
              <w:right w:val="single" w:sz="8" w:space="0" w:color="auto"/>
            </w:tcBorders>
            <w:shd w:val="clear" w:color="auto" w:fill="E8E8E8"/>
            <w:vAlign w:val="bottom"/>
            <w:hideMark/>
          </w:tcPr>
          <w:p w14:paraId="5FF91FF3" w14:textId="14F7C2C7" w:rsidR="00FD15B1" w:rsidRPr="0012498E" w:rsidRDefault="30E3E7BC"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L</w:t>
            </w:r>
            <w:r w:rsidR="2FC4F0FF" w:rsidRPr="0012498E">
              <w:rPr>
                <w:rFonts w:eastAsia="Times New Roman" w:cs="Times New Roman"/>
                <w:color w:val="000000"/>
                <w:kern w:val="0"/>
                <w:sz w:val="20"/>
                <w:szCs w:val="20"/>
                <w:lang w:eastAsia="en-GB"/>
                <w14:ligatures w14:val="none"/>
              </w:rPr>
              <w:t>ocal growth fund</w:t>
            </w:r>
          </w:p>
        </w:tc>
        <w:tc>
          <w:tcPr>
            <w:tcW w:w="3402" w:type="dxa"/>
            <w:tcBorders>
              <w:top w:val="nil"/>
              <w:left w:val="nil"/>
              <w:bottom w:val="single" w:sz="4" w:space="0" w:color="auto"/>
              <w:right w:val="single" w:sz="12" w:space="0" w:color="auto"/>
            </w:tcBorders>
            <w:noWrap/>
            <w:vAlign w:val="bottom"/>
            <w:hideMark/>
          </w:tcPr>
          <w:p w14:paraId="734BA011" w14:textId="146080EF"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(6,123) </w:t>
            </w:r>
          </w:p>
        </w:tc>
      </w:tr>
      <w:tr w:rsidR="00AF6BAD" w:rsidRPr="0012498E" w14:paraId="79DF1549" w14:textId="77777777" w:rsidTr="2DFE4DF5">
        <w:trPr>
          <w:trHeight w:val="220"/>
          <w:jc w:val="center"/>
        </w:trPr>
        <w:tc>
          <w:tcPr>
            <w:tcW w:w="4128" w:type="dxa"/>
            <w:tcBorders>
              <w:top w:val="single" w:sz="4" w:space="0" w:color="000000" w:themeColor="text2"/>
              <w:left w:val="single" w:sz="12" w:space="0" w:color="auto"/>
              <w:bottom w:val="single" w:sz="8" w:space="0" w:color="auto"/>
              <w:right w:val="single" w:sz="8" w:space="0" w:color="auto"/>
            </w:tcBorders>
            <w:shd w:val="clear" w:color="auto" w:fill="E8E8E8"/>
            <w:vAlign w:val="bottom"/>
          </w:tcPr>
          <w:p w14:paraId="3B398B83" w14:textId="0B13E27E" w:rsidR="00AF6BAD" w:rsidRPr="003F4E3E" w:rsidRDefault="27AF7500" w:rsidP="00FD15B1">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E</w:t>
            </w:r>
            <w:r w:rsidR="18A1D37A">
              <w:rPr>
                <w:rFonts w:eastAsia="Times New Roman" w:cs="Times New Roman"/>
                <w:color w:val="000000"/>
                <w:kern w:val="0"/>
                <w:sz w:val="20"/>
                <w:szCs w:val="20"/>
                <w:lang w:eastAsia="en-GB"/>
                <w14:ligatures w14:val="none"/>
              </w:rPr>
              <w:t>ngine room</w:t>
            </w:r>
          </w:p>
        </w:tc>
        <w:tc>
          <w:tcPr>
            <w:tcW w:w="3402" w:type="dxa"/>
            <w:tcBorders>
              <w:top w:val="nil"/>
              <w:left w:val="nil"/>
              <w:bottom w:val="single" w:sz="4" w:space="0" w:color="auto"/>
              <w:right w:val="single" w:sz="12" w:space="0" w:color="auto"/>
            </w:tcBorders>
            <w:noWrap/>
            <w:vAlign w:val="bottom"/>
          </w:tcPr>
          <w:p w14:paraId="29AA006D" w14:textId="53B2794A" w:rsidR="00AF6BAD" w:rsidRPr="0012498E" w:rsidRDefault="00FA1098" w:rsidP="00FD15B1">
            <w:pPr>
              <w:jc w:val="right"/>
              <w:rPr>
                <w:color w:val="000000"/>
                <w:sz w:val="20"/>
                <w:szCs w:val="20"/>
              </w:rPr>
            </w:pPr>
            <w:r>
              <w:rPr>
                <w:color w:val="000000"/>
                <w:sz w:val="20"/>
                <w:szCs w:val="20"/>
              </w:rPr>
              <w:t>(</w:t>
            </w:r>
            <w:r w:rsidR="007922D2">
              <w:rPr>
                <w:color w:val="000000"/>
                <w:sz w:val="20"/>
                <w:szCs w:val="20"/>
              </w:rPr>
              <w:t>390)</w:t>
            </w:r>
          </w:p>
        </w:tc>
      </w:tr>
      <w:tr w:rsidR="00FD15B1" w:rsidRPr="0012498E" w14:paraId="7499401A" w14:textId="77777777" w:rsidTr="2DFE4DF5">
        <w:trPr>
          <w:trHeight w:val="240"/>
          <w:jc w:val="center"/>
        </w:trPr>
        <w:tc>
          <w:tcPr>
            <w:tcW w:w="4128" w:type="dxa"/>
            <w:tcBorders>
              <w:top w:val="nil"/>
              <w:left w:val="single" w:sz="12" w:space="0" w:color="auto"/>
              <w:bottom w:val="single" w:sz="8" w:space="0" w:color="auto"/>
              <w:right w:val="single" w:sz="8" w:space="0" w:color="auto"/>
            </w:tcBorders>
            <w:shd w:val="clear" w:color="auto" w:fill="D9D9D9" w:themeFill="background1" w:themeFillShade="D9"/>
            <w:vAlign w:val="bottom"/>
            <w:hideMark/>
          </w:tcPr>
          <w:p w14:paraId="75DC8717" w14:textId="77777777" w:rsidR="00FD15B1" w:rsidRPr="0012498E" w:rsidRDefault="00FD15B1" w:rsidP="00FD15B1">
            <w:pP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Total Business Solutions Grant</w:t>
            </w:r>
          </w:p>
        </w:tc>
        <w:tc>
          <w:tcPr>
            <w:tcW w:w="3402" w:type="dxa"/>
            <w:tcBorders>
              <w:top w:val="nil"/>
              <w:left w:val="nil"/>
              <w:bottom w:val="nil"/>
              <w:right w:val="single" w:sz="12" w:space="0" w:color="auto"/>
            </w:tcBorders>
            <w:shd w:val="clear" w:color="auto" w:fill="D9D9D9" w:themeFill="background1" w:themeFillShade="D9"/>
            <w:noWrap/>
            <w:vAlign w:val="bottom"/>
            <w:hideMark/>
          </w:tcPr>
          <w:p w14:paraId="28378294" w14:textId="518D11A2" w:rsidR="00FD15B1" w:rsidRPr="0012498E" w:rsidRDefault="00FD15B1" w:rsidP="00FD15B1">
            <w:pPr>
              <w:jc w:val="right"/>
              <w:rPr>
                <w:rFonts w:eastAsia="Times New Roman" w:cs="Times New Roman"/>
                <w:b/>
                <w:bCs/>
                <w:color w:val="000000"/>
                <w:kern w:val="0"/>
                <w:sz w:val="20"/>
                <w:szCs w:val="20"/>
                <w:lang w:eastAsia="en-GB"/>
                <w14:ligatures w14:val="none"/>
              </w:rPr>
            </w:pPr>
            <w:r w:rsidRPr="0012498E">
              <w:rPr>
                <w:b/>
                <w:bCs/>
                <w:color w:val="000000"/>
                <w:sz w:val="20"/>
                <w:szCs w:val="20"/>
              </w:rPr>
              <w:t>(</w:t>
            </w:r>
            <w:r w:rsidR="00234045" w:rsidRPr="0012498E">
              <w:rPr>
                <w:b/>
                <w:color w:val="000000"/>
                <w:sz w:val="20"/>
                <w:szCs w:val="20"/>
              </w:rPr>
              <w:t>5</w:t>
            </w:r>
            <w:r w:rsidR="00827E7D">
              <w:rPr>
                <w:b/>
                <w:color w:val="000000"/>
                <w:sz w:val="20"/>
                <w:szCs w:val="20"/>
              </w:rPr>
              <w:t>3</w:t>
            </w:r>
            <w:r w:rsidR="00234045" w:rsidRPr="0012498E">
              <w:rPr>
                <w:b/>
                <w:color w:val="000000"/>
                <w:sz w:val="20"/>
                <w:szCs w:val="20"/>
              </w:rPr>
              <w:t>,</w:t>
            </w:r>
            <w:r w:rsidR="00827E7D">
              <w:rPr>
                <w:b/>
                <w:color w:val="000000"/>
                <w:sz w:val="20"/>
                <w:szCs w:val="20"/>
              </w:rPr>
              <w:t>070</w:t>
            </w:r>
            <w:r w:rsidRPr="0012498E">
              <w:rPr>
                <w:b/>
                <w:bCs/>
                <w:color w:val="000000"/>
                <w:sz w:val="20"/>
                <w:szCs w:val="20"/>
              </w:rPr>
              <w:t xml:space="preserve">) </w:t>
            </w:r>
          </w:p>
        </w:tc>
      </w:tr>
      <w:tr w:rsidR="000E196F" w:rsidRPr="0012498E" w14:paraId="6D3D1750" w14:textId="77777777" w:rsidTr="2DFE4DF5">
        <w:trPr>
          <w:trHeight w:val="28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363D2B91" w14:textId="77777777" w:rsidR="00FD15B1" w:rsidRPr="0012498E" w:rsidRDefault="00FD15B1" w:rsidP="00FD15B1">
            <w:pP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Infrastructure</w:t>
            </w:r>
          </w:p>
        </w:tc>
        <w:tc>
          <w:tcPr>
            <w:tcW w:w="3402" w:type="dxa"/>
            <w:tcBorders>
              <w:top w:val="single" w:sz="8" w:space="0" w:color="auto"/>
              <w:left w:val="nil"/>
              <w:bottom w:val="single" w:sz="4" w:space="0" w:color="auto"/>
              <w:right w:val="single" w:sz="12" w:space="0" w:color="auto"/>
            </w:tcBorders>
            <w:noWrap/>
            <w:vAlign w:val="bottom"/>
            <w:hideMark/>
          </w:tcPr>
          <w:p w14:paraId="63BD38E8" w14:textId="400FBFED" w:rsidR="00FD15B1" w:rsidRPr="0012498E" w:rsidRDefault="00FD15B1" w:rsidP="00FD15B1">
            <w:pPr>
              <w:rPr>
                <w:rFonts w:eastAsia="Times New Roman" w:cs="Times New Roman"/>
                <w:color w:val="000000"/>
                <w:kern w:val="0"/>
                <w:sz w:val="20"/>
                <w:szCs w:val="20"/>
                <w:lang w:eastAsia="en-GB"/>
                <w14:ligatures w14:val="none"/>
              </w:rPr>
            </w:pPr>
            <w:r w:rsidRPr="0012498E">
              <w:rPr>
                <w:color w:val="000000"/>
                <w:sz w:val="20"/>
                <w:szCs w:val="20"/>
              </w:rPr>
              <w:t xml:space="preserve">                  </w:t>
            </w:r>
          </w:p>
        </w:tc>
      </w:tr>
      <w:tr w:rsidR="00CB55E0" w:rsidRPr="0012498E" w14:paraId="6E43E926" w14:textId="77777777" w:rsidTr="2DFE4DF5">
        <w:trPr>
          <w:trHeight w:val="210"/>
          <w:jc w:val="center"/>
        </w:trPr>
        <w:tc>
          <w:tcPr>
            <w:tcW w:w="4128" w:type="dxa"/>
            <w:tcBorders>
              <w:top w:val="single" w:sz="4" w:space="0" w:color="auto"/>
              <w:left w:val="single" w:sz="12" w:space="0" w:color="auto"/>
              <w:bottom w:val="single" w:sz="4" w:space="0" w:color="auto"/>
              <w:right w:val="single" w:sz="8" w:space="0" w:color="auto"/>
            </w:tcBorders>
            <w:shd w:val="clear" w:color="auto" w:fill="E8E8E8"/>
            <w:vAlign w:val="bottom"/>
          </w:tcPr>
          <w:p w14:paraId="77DCA7B0" w14:textId="62EEC2E2" w:rsidR="00CB55E0" w:rsidRPr="003F4E3E" w:rsidRDefault="23B6ECF2" w:rsidP="00FD15B1">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L</w:t>
            </w:r>
            <w:r w:rsidR="1B38036C">
              <w:rPr>
                <w:rFonts w:eastAsia="Times New Roman" w:cs="Times New Roman"/>
                <w:color w:val="000000"/>
                <w:kern w:val="0"/>
                <w:sz w:val="20"/>
                <w:szCs w:val="20"/>
                <w:lang w:eastAsia="en-GB"/>
                <w14:ligatures w14:val="none"/>
              </w:rPr>
              <w:t>ocal transport authority (bus)</w:t>
            </w:r>
          </w:p>
        </w:tc>
        <w:tc>
          <w:tcPr>
            <w:tcW w:w="3402" w:type="dxa"/>
            <w:tcBorders>
              <w:top w:val="single" w:sz="4" w:space="0" w:color="auto"/>
              <w:left w:val="nil"/>
              <w:bottom w:val="single" w:sz="4" w:space="0" w:color="auto"/>
              <w:right w:val="single" w:sz="12" w:space="0" w:color="auto"/>
            </w:tcBorders>
            <w:noWrap/>
            <w:vAlign w:val="bottom"/>
          </w:tcPr>
          <w:p w14:paraId="671A127B" w14:textId="44C229FD" w:rsidR="00CB55E0" w:rsidRPr="0012498E" w:rsidRDefault="005D46B6" w:rsidP="00FD15B1">
            <w:pPr>
              <w:jc w:val="right"/>
              <w:rPr>
                <w:color w:val="000000"/>
                <w:sz w:val="20"/>
                <w:szCs w:val="20"/>
              </w:rPr>
            </w:pPr>
            <w:r>
              <w:rPr>
                <w:color w:val="000000"/>
                <w:sz w:val="20"/>
                <w:szCs w:val="20"/>
              </w:rPr>
              <w:t>(8,662</w:t>
            </w:r>
            <w:r w:rsidR="00297E6C">
              <w:rPr>
                <w:color w:val="000000"/>
                <w:sz w:val="20"/>
                <w:szCs w:val="20"/>
              </w:rPr>
              <w:t>)</w:t>
            </w:r>
          </w:p>
        </w:tc>
      </w:tr>
      <w:tr w:rsidR="00FD15B1" w:rsidRPr="0012498E" w14:paraId="1D44EBE7" w14:textId="77777777" w:rsidTr="2DFE4DF5">
        <w:trPr>
          <w:trHeight w:val="210"/>
          <w:jc w:val="center"/>
        </w:trPr>
        <w:tc>
          <w:tcPr>
            <w:tcW w:w="4128" w:type="dxa"/>
            <w:tcBorders>
              <w:top w:val="single" w:sz="4" w:space="0" w:color="auto"/>
              <w:left w:val="single" w:sz="12" w:space="0" w:color="auto"/>
              <w:bottom w:val="single" w:sz="4" w:space="0" w:color="auto"/>
              <w:right w:val="single" w:sz="8" w:space="0" w:color="auto"/>
            </w:tcBorders>
            <w:shd w:val="clear" w:color="auto" w:fill="E8E8E8"/>
            <w:vAlign w:val="bottom"/>
            <w:hideMark/>
          </w:tcPr>
          <w:p w14:paraId="5BB43BA4" w14:textId="40D83760" w:rsidR="00FD15B1" w:rsidRPr="0012498E" w:rsidRDefault="37605077"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A</w:t>
            </w:r>
            <w:r w:rsidR="2FC4F0FF" w:rsidRPr="0012498E">
              <w:rPr>
                <w:rFonts w:eastAsia="Times New Roman" w:cs="Times New Roman"/>
                <w:color w:val="000000"/>
                <w:kern w:val="0"/>
                <w:sz w:val="20"/>
                <w:szCs w:val="20"/>
                <w:lang w:eastAsia="en-GB"/>
                <w14:ligatures w14:val="none"/>
              </w:rPr>
              <w:t>ctive travel- capability fund</w:t>
            </w:r>
          </w:p>
        </w:tc>
        <w:tc>
          <w:tcPr>
            <w:tcW w:w="3402" w:type="dxa"/>
            <w:tcBorders>
              <w:top w:val="single" w:sz="4" w:space="0" w:color="auto"/>
              <w:left w:val="nil"/>
              <w:bottom w:val="single" w:sz="4" w:space="0" w:color="auto"/>
              <w:right w:val="single" w:sz="12" w:space="0" w:color="auto"/>
            </w:tcBorders>
            <w:noWrap/>
            <w:vAlign w:val="bottom"/>
            <w:hideMark/>
          </w:tcPr>
          <w:p w14:paraId="2C60EBDB" w14:textId="19B5EB69"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(266) </w:t>
            </w:r>
          </w:p>
        </w:tc>
      </w:tr>
      <w:tr w:rsidR="00FD15B1" w:rsidRPr="0012498E" w14:paraId="74649D37" w14:textId="77777777" w:rsidTr="2DFE4DF5">
        <w:trPr>
          <w:trHeight w:val="210"/>
          <w:jc w:val="center"/>
        </w:trPr>
        <w:tc>
          <w:tcPr>
            <w:tcW w:w="4128" w:type="dxa"/>
            <w:tcBorders>
              <w:top w:val="nil"/>
              <w:left w:val="single" w:sz="12" w:space="0" w:color="auto"/>
              <w:bottom w:val="single" w:sz="4" w:space="0" w:color="auto"/>
              <w:right w:val="single" w:sz="8" w:space="0" w:color="auto"/>
            </w:tcBorders>
            <w:shd w:val="clear" w:color="auto" w:fill="E8E8E8"/>
            <w:vAlign w:val="bottom"/>
            <w:hideMark/>
          </w:tcPr>
          <w:p w14:paraId="781AD15C" w14:textId="41E75085" w:rsidR="00FD15B1" w:rsidRPr="0012498E" w:rsidRDefault="25C165AC"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C</w:t>
            </w:r>
            <w:r w:rsidR="006C5F12">
              <w:rPr>
                <w:rFonts w:eastAsia="Times New Roman" w:cs="Times New Roman"/>
                <w:color w:val="000000"/>
                <w:kern w:val="0"/>
                <w:sz w:val="20"/>
                <w:szCs w:val="20"/>
                <w:lang w:eastAsia="en-GB"/>
                <w14:ligatures w14:val="none"/>
              </w:rPr>
              <w:t>R</w:t>
            </w:r>
            <w:r w:rsidRPr="0012498E">
              <w:rPr>
                <w:rFonts w:eastAsia="Times New Roman" w:cs="Times New Roman"/>
                <w:color w:val="000000"/>
                <w:kern w:val="0"/>
                <w:sz w:val="20"/>
                <w:szCs w:val="20"/>
                <w:lang w:eastAsia="en-GB"/>
                <w14:ligatures w14:val="none"/>
              </w:rPr>
              <w:t>STS</w:t>
            </w:r>
          </w:p>
        </w:tc>
        <w:tc>
          <w:tcPr>
            <w:tcW w:w="3402" w:type="dxa"/>
            <w:tcBorders>
              <w:top w:val="nil"/>
              <w:left w:val="nil"/>
              <w:bottom w:val="single" w:sz="4" w:space="0" w:color="auto"/>
              <w:right w:val="single" w:sz="12" w:space="0" w:color="auto"/>
            </w:tcBorders>
            <w:noWrap/>
            <w:vAlign w:val="bottom"/>
            <w:hideMark/>
          </w:tcPr>
          <w:p w14:paraId="37DEAB76" w14:textId="03D0F2B3"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(8,510) </w:t>
            </w:r>
          </w:p>
        </w:tc>
      </w:tr>
      <w:tr w:rsidR="00FD15B1" w:rsidRPr="0012498E" w14:paraId="27A2CD7E" w14:textId="77777777" w:rsidTr="2DFE4DF5">
        <w:trPr>
          <w:trHeight w:val="220"/>
          <w:jc w:val="center"/>
        </w:trPr>
        <w:tc>
          <w:tcPr>
            <w:tcW w:w="4128" w:type="dxa"/>
            <w:tcBorders>
              <w:top w:val="nil"/>
              <w:left w:val="single" w:sz="12" w:space="0" w:color="auto"/>
              <w:bottom w:val="single" w:sz="8" w:space="0" w:color="auto"/>
              <w:right w:val="single" w:sz="8" w:space="0" w:color="auto"/>
            </w:tcBorders>
            <w:shd w:val="clear" w:color="auto" w:fill="E8E8E8"/>
            <w:vAlign w:val="bottom"/>
            <w:hideMark/>
          </w:tcPr>
          <w:p w14:paraId="52F02E88" w14:textId="77777777" w:rsidR="00FD15B1" w:rsidRPr="0012498E" w:rsidRDefault="00FD15B1" w:rsidP="00FD15B1">
            <w:pPr>
              <w:rPr>
                <w:rFonts w:eastAsia="Times New Roman" w:cs="Times New Roman"/>
                <w:color w:val="000000"/>
                <w:kern w:val="0"/>
                <w:sz w:val="20"/>
                <w:szCs w:val="20"/>
                <w:lang w:eastAsia="en-GB"/>
                <w14:ligatures w14:val="none"/>
              </w:rPr>
            </w:pPr>
            <w:r w:rsidRPr="0012498E">
              <w:rPr>
                <w:rFonts w:eastAsia="Times New Roman" w:cs="Times New Roman"/>
                <w:color w:val="000000"/>
                <w:kern w:val="0"/>
                <w:sz w:val="20"/>
                <w:szCs w:val="20"/>
                <w:lang w:eastAsia="en-GB"/>
                <w14:ligatures w14:val="none"/>
              </w:rPr>
              <w:t>TCR</w:t>
            </w:r>
          </w:p>
        </w:tc>
        <w:tc>
          <w:tcPr>
            <w:tcW w:w="3402" w:type="dxa"/>
            <w:tcBorders>
              <w:top w:val="nil"/>
              <w:left w:val="nil"/>
              <w:bottom w:val="single" w:sz="8" w:space="0" w:color="auto"/>
              <w:right w:val="single" w:sz="12" w:space="0" w:color="auto"/>
            </w:tcBorders>
            <w:noWrap/>
            <w:vAlign w:val="bottom"/>
            <w:hideMark/>
          </w:tcPr>
          <w:p w14:paraId="6335F271" w14:textId="26F80C73" w:rsidR="00FD15B1" w:rsidRPr="0012498E" w:rsidRDefault="00FD15B1" w:rsidP="00FD15B1">
            <w:pPr>
              <w:jc w:val="right"/>
              <w:rPr>
                <w:rFonts w:eastAsia="Times New Roman" w:cs="Times New Roman"/>
                <w:color w:val="000000"/>
                <w:kern w:val="0"/>
                <w:sz w:val="20"/>
                <w:szCs w:val="20"/>
                <w:lang w:eastAsia="en-GB"/>
                <w14:ligatures w14:val="none"/>
              </w:rPr>
            </w:pPr>
            <w:r w:rsidRPr="0012498E">
              <w:rPr>
                <w:color w:val="000000"/>
                <w:sz w:val="20"/>
                <w:szCs w:val="20"/>
              </w:rPr>
              <w:t xml:space="preserve">(2,896) </w:t>
            </w:r>
          </w:p>
        </w:tc>
      </w:tr>
      <w:tr w:rsidR="00234045" w:rsidRPr="0012498E" w14:paraId="1912E4DB" w14:textId="77777777" w:rsidTr="2DFE4DF5">
        <w:trPr>
          <w:trHeight w:val="220"/>
          <w:jc w:val="center"/>
        </w:trPr>
        <w:tc>
          <w:tcPr>
            <w:tcW w:w="4128" w:type="dxa"/>
            <w:tcBorders>
              <w:top w:val="nil"/>
              <w:left w:val="single" w:sz="12" w:space="0" w:color="auto"/>
              <w:bottom w:val="single" w:sz="8" w:space="0" w:color="auto"/>
              <w:right w:val="single" w:sz="8" w:space="0" w:color="auto"/>
            </w:tcBorders>
            <w:shd w:val="clear" w:color="auto" w:fill="D5D5D5" w:themeFill="accent3" w:themeFillTint="66"/>
            <w:vAlign w:val="bottom"/>
          </w:tcPr>
          <w:p w14:paraId="5449D106" w14:textId="21E4089E" w:rsidR="00234045" w:rsidRPr="003A3A3E" w:rsidRDefault="00234045" w:rsidP="00234045">
            <w:pPr>
              <w:rPr>
                <w:rFonts w:eastAsia="Times New Roman" w:cs="Times New Roman"/>
                <w:b/>
                <w:bCs/>
                <w:color w:val="000000"/>
                <w:kern w:val="0"/>
                <w:sz w:val="20"/>
                <w:szCs w:val="20"/>
                <w:lang w:eastAsia="en-GB"/>
                <w14:ligatures w14:val="none"/>
              </w:rPr>
            </w:pPr>
            <w:r w:rsidRPr="003F4E3E">
              <w:rPr>
                <w:rFonts w:eastAsia="Times New Roman" w:cs="Times New Roman"/>
                <w:b/>
                <w:bCs/>
                <w:color w:val="000000"/>
                <w:kern w:val="0"/>
                <w:sz w:val="20"/>
                <w:szCs w:val="20"/>
                <w:lang w:eastAsia="en-GB"/>
                <w14:ligatures w14:val="none"/>
              </w:rPr>
              <w:t xml:space="preserve">Total </w:t>
            </w:r>
            <w:r w:rsidR="00AE0B63">
              <w:rPr>
                <w:rFonts w:eastAsia="Times New Roman" w:cs="Times New Roman"/>
                <w:b/>
                <w:bCs/>
                <w:color w:val="000000"/>
                <w:kern w:val="0"/>
                <w:sz w:val="20"/>
                <w:szCs w:val="20"/>
                <w:lang w:eastAsia="en-GB"/>
                <w14:ligatures w14:val="none"/>
              </w:rPr>
              <w:t>Infrastructure</w:t>
            </w:r>
            <w:r w:rsidRPr="003F4E3E">
              <w:rPr>
                <w:rFonts w:eastAsia="Times New Roman" w:cs="Times New Roman"/>
                <w:b/>
                <w:bCs/>
                <w:color w:val="000000"/>
                <w:kern w:val="0"/>
                <w:sz w:val="20"/>
                <w:szCs w:val="20"/>
                <w:lang w:eastAsia="en-GB"/>
                <w14:ligatures w14:val="none"/>
              </w:rPr>
              <w:t xml:space="preserve"> Grant</w:t>
            </w:r>
          </w:p>
        </w:tc>
        <w:tc>
          <w:tcPr>
            <w:tcW w:w="3402" w:type="dxa"/>
            <w:tcBorders>
              <w:top w:val="nil"/>
              <w:left w:val="nil"/>
              <w:bottom w:val="single" w:sz="8" w:space="0" w:color="auto"/>
              <w:right w:val="single" w:sz="12" w:space="0" w:color="auto"/>
            </w:tcBorders>
            <w:shd w:val="clear" w:color="auto" w:fill="D5D5D5" w:themeFill="accent3" w:themeFillTint="66"/>
            <w:noWrap/>
            <w:vAlign w:val="bottom"/>
          </w:tcPr>
          <w:p w14:paraId="2EE4C2D3" w14:textId="44B8D3B4" w:rsidR="00234045" w:rsidRPr="0012498E" w:rsidRDefault="00234045" w:rsidP="00234045">
            <w:pPr>
              <w:jc w:val="right"/>
              <w:rPr>
                <w:color w:val="000000"/>
                <w:sz w:val="20"/>
                <w:szCs w:val="20"/>
              </w:rPr>
            </w:pPr>
            <w:r w:rsidRPr="0012498E">
              <w:rPr>
                <w:b/>
                <w:color w:val="000000"/>
                <w:sz w:val="20"/>
                <w:szCs w:val="20"/>
              </w:rPr>
              <w:t>(</w:t>
            </w:r>
            <w:r w:rsidR="00882FDF">
              <w:rPr>
                <w:b/>
                <w:color w:val="000000"/>
                <w:sz w:val="20"/>
                <w:szCs w:val="20"/>
              </w:rPr>
              <w:t>20,334</w:t>
            </w:r>
            <w:r w:rsidRPr="0012498E">
              <w:rPr>
                <w:b/>
                <w:color w:val="000000"/>
                <w:sz w:val="20"/>
                <w:szCs w:val="20"/>
              </w:rPr>
              <w:t xml:space="preserve">) </w:t>
            </w:r>
          </w:p>
        </w:tc>
      </w:tr>
      <w:tr w:rsidR="003A3A3E" w:rsidRPr="0012498E" w14:paraId="3D28DC85" w14:textId="77777777" w:rsidTr="2DFE4DF5">
        <w:trPr>
          <w:trHeight w:val="257"/>
          <w:jc w:val="center"/>
        </w:trPr>
        <w:tc>
          <w:tcPr>
            <w:tcW w:w="4128" w:type="dxa"/>
            <w:tcBorders>
              <w:top w:val="nil"/>
              <w:left w:val="single" w:sz="12" w:space="0" w:color="auto"/>
              <w:bottom w:val="single" w:sz="8" w:space="0" w:color="auto"/>
              <w:right w:val="single" w:sz="8" w:space="0" w:color="auto"/>
            </w:tcBorders>
            <w:shd w:val="clear" w:color="auto" w:fill="E8E8E8"/>
            <w:vAlign w:val="bottom"/>
          </w:tcPr>
          <w:p w14:paraId="73972EFD" w14:textId="0A05422E" w:rsidR="003A3A3E" w:rsidRPr="003A3A3E" w:rsidRDefault="0082264D" w:rsidP="00FD15B1">
            <w:pP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Business Solutions</w:t>
            </w:r>
          </w:p>
        </w:tc>
        <w:tc>
          <w:tcPr>
            <w:tcW w:w="3402" w:type="dxa"/>
            <w:tcBorders>
              <w:top w:val="nil"/>
              <w:left w:val="nil"/>
              <w:bottom w:val="single" w:sz="8" w:space="0" w:color="auto"/>
              <w:right w:val="single" w:sz="12" w:space="0" w:color="auto"/>
            </w:tcBorders>
            <w:noWrap/>
            <w:vAlign w:val="bottom"/>
          </w:tcPr>
          <w:p w14:paraId="09F2A822" w14:textId="77777777" w:rsidR="003A3A3E" w:rsidRPr="0012498E" w:rsidRDefault="003A3A3E" w:rsidP="00FD15B1">
            <w:pPr>
              <w:jc w:val="right"/>
              <w:rPr>
                <w:color w:val="000000"/>
                <w:sz w:val="20"/>
                <w:szCs w:val="20"/>
              </w:rPr>
            </w:pPr>
          </w:p>
        </w:tc>
      </w:tr>
      <w:tr w:rsidR="003A3A3E" w:rsidRPr="0012498E" w14:paraId="73C75642" w14:textId="77777777" w:rsidTr="2DFE4DF5">
        <w:trPr>
          <w:trHeight w:val="220"/>
          <w:jc w:val="center"/>
        </w:trPr>
        <w:tc>
          <w:tcPr>
            <w:tcW w:w="4128" w:type="dxa"/>
            <w:tcBorders>
              <w:top w:val="nil"/>
              <w:left w:val="single" w:sz="12" w:space="0" w:color="auto"/>
              <w:bottom w:val="single" w:sz="8" w:space="0" w:color="auto"/>
              <w:right w:val="single" w:sz="8" w:space="0" w:color="auto"/>
            </w:tcBorders>
            <w:shd w:val="clear" w:color="auto" w:fill="E8E8E8"/>
            <w:vAlign w:val="bottom"/>
          </w:tcPr>
          <w:p w14:paraId="63A0AEAF" w14:textId="58A71A6A" w:rsidR="003A3A3E" w:rsidRPr="003F4E3E" w:rsidRDefault="2017D954" w:rsidP="00FD15B1">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Investment Zone</w:t>
            </w:r>
            <w:r w:rsidR="1F4CBE8D">
              <w:rPr>
                <w:rFonts w:eastAsia="Times New Roman" w:cs="Times New Roman"/>
                <w:color w:val="000000"/>
                <w:kern w:val="0"/>
                <w:sz w:val="20"/>
                <w:szCs w:val="20"/>
                <w:lang w:eastAsia="en-GB"/>
                <w14:ligatures w14:val="none"/>
              </w:rPr>
              <w:t>s</w:t>
            </w:r>
            <w:r w:rsidR="51FE2B9F">
              <w:rPr>
                <w:rFonts w:eastAsia="Times New Roman" w:cs="Times New Roman"/>
                <w:color w:val="000000"/>
                <w:kern w:val="0"/>
                <w:sz w:val="20"/>
                <w:szCs w:val="20"/>
                <w:lang w:eastAsia="en-GB"/>
                <w14:ligatures w14:val="none"/>
              </w:rPr>
              <w:t xml:space="preserve"> (IZ)</w:t>
            </w:r>
          </w:p>
        </w:tc>
        <w:tc>
          <w:tcPr>
            <w:tcW w:w="3402" w:type="dxa"/>
            <w:tcBorders>
              <w:top w:val="nil"/>
              <w:left w:val="nil"/>
              <w:bottom w:val="single" w:sz="8" w:space="0" w:color="auto"/>
              <w:right w:val="single" w:sz="12" w:space="0" w:color="auto"/>
            </w:tcBorders>
            <w:noWrap/>
            <w:vAlign w:val="bottom"/>
          </w:tcPr>
          <w:p w14:paraId="265A5DA5" w14:textId="7428F29F" w:rsidR="003A3A3E" w:rsidRPr="0012498E" w:rsidRDefault="00FA6741" w:rsidP="00FD15B1">
            <w:pPr>
              <w:jc w:val="right"/>
              <w:rPr>
                <w:color w:val="000000"/>
                <w:sz w:val="20"/>
                <w:szCs w:val="20"/>
              </w:rPr>
            </w:pPr>
            <w:r>
              <w:rPr>
                <w:color w:val="000000"/>
                <w:sz w:val="20"/>
                <w:szCs w:val="20"/>
              </w:rPr>
              <w:t>(8,220)</w:t>
            </w:r>
          </w:p>
        </w:tc>
      </w:tr>
      <w:tr w:rsidR="00FD15B1" w:rsidRPr="0012498E" w14:paraId="6CDC1208" w14:textId="77777777" w:rsidTr="2DFE4DF5">
        <w:trPr>
          <w:trHeight w:val="230"/>
          <w:jc w:val="center"/>
        </w:trPr>
        <w:tc>
          <w:tcPr>
            <w:tcW w:w="4128" w:type="dxa"/>
            <w:tcBorders>
              <w:top w:val="nil"/>
              <w:left w:val="single" w:sz="12" w:space="0" w:color="auto"/>
              <w:bottom w:val="single" w:sz="4" w:space="0" w:color="auto"/>
              <w:right w:val="single" w:sz="8" w:space="0" w:color="auto"/>
            </w:tcBorders>
            <w:shd w:val="clear" w:color="auto" w:fill="D9D9D9" w:themeFill="background1" w:themeFillShade="D9"/>
            <w:vAlign w:val="bottom"/>
            <w:hideMark/>
          </w:tcPr>
          <w:p w14:paraId="2BB21897" w14:textId="79B33F01" w:rsidR="00FD15B1" w:rsidRPr="0012498E" w:rsidRDefault="00FD15B1" w:rsidP="00FD15B1">
            <w:pP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 xml:space="preserve">Total </w:t>
            </w:r>
            <w:r w:rsidR="7FCA6CFD" w:rsidRPr="0012498E">
              <w:rPr>
                <w:rFonts w:eastAsia="Times New Roman" w:cs="Times New Roman"/>
                <w:b/>
                <w:bCs/>
                <w:color w:val="000000"/>
                <w:kern w:val="0"/>
                <w:sz w:val="20"/>
                <w:szCs w:val="20"/>
                <w:lang w:eastAsia="en-GB"/>
                <w14:ligatures w14:val="none"/>
              </w:rPr>
              <w:t>I</w:t>
            </w:r>
            <w:r w:rsidR="1E3AF124" w:rsidRPr="0012498E">
              <w:rPr>
                <w:rFonts w:eastAsia="Times New Roman" w:cs="Times New Roman"/>
                <w:b/>
                <w:bCs/>
                <w:color w:val="000000"/>
                <w:kern w:val="0"/>
                <w:sz w:val="20"/>
                <w:szCs w:val="20"/>
                <w:lang w:eastAsia="en-GB"/>
                <w14:ligatures w14:val="none"/>
              </w:rPr>
              <w:t>Z</w:t>
            </w:r>
            <w:r w:rsidRPr="0012498E">
              <w:rPr>
                <w:rFonts w:eastAsia="Times New Roman" w:cs="Times New Roman"/>
                <w:b/>
                <w:bCs/>
                <w:color w:val="000000"/>
                <w:kern w:val="0"/>
                <w:sz w:val="20"/>
                <w:szCs w:val="20"/>
                <w:lang w:eastAsia="en-GB"/>
                <w14:ligatures w14:val="none"/>
              </w:rPr>
              <w:t xml:space="preserve"> Grant</w:t>
            </w:r>
          </w:p>
        </w:tc>
        <w:tc>
          <w:tcPr>
            <w:tcW w:w="3402" w:type="dxa"/>
            <w:tcBorders>
              <w:top w:val="nil"/>
              <w:left w:val="nil"/>
              <w:bottom w:val="single" w:sz="4" w:space="0" w:color="auto"/>
              <w:right w:val="single" w:sz="12" w:space="0" w:color="auto"/>
            </w:tcBorders>
            <w:shd w:val="clear" w:color="auto" w:fill="D9D9D9" w:themeFill="background1" w:themeFillShade="D9"/>
            <w:noWrap/>
            <w:vAlign w:val="bottom"/>
            <w:hideMark/>
          </w:tcPr>
          <w:p w14:paraId="6A662D13" w14:textId="0BDF305B" w:rsidR="00FD15B1" w:rsidRPr="0012498E" w:rsidRDefault="00FD15B1" w:rsidP="00FD15B1">
            <w:pPr>
              <w:jc w:val="right"/>
              <w:rPr>
                <w:rFonts w:eastAsia="Times New Roman" w:cs="Times New Roman"/>
                <w:b/>
                <w:bCs/>
                <w:color w:val="000000"/>
                <w:kern w:val="0"/>
                <w:sz w:val="20"/>
                <w:szCs w:val="20"/>
                <w:lang w:eastAsia="en-GB"/>
                <w14:ligatures w14:val="none"/>
              </w:rPr>
            </w:pPr>
            <w:r w:rsidRPr="0012498E">
              <w:rPr>
                <w:b/>
                <w:bCs/>
                <w:color w:val="000000"/>
                <w:sz w:val="20"/>
                <w:szCs w:val="20"/>
              </w:rPr>
              <w:t>(</w:t>
            </w:r>
            <w:r w:rsidR="00AE0B63">
              <w:rPr>
                <w:b/>
                <w:color w:val="000000"/>
                <w:sz w:val="20"/>
                <w:szCs w:val="20"/>
              </w:rPr>
              <w:t>8,220</w:t>
            </w:r>
            <w:r w:rsidRPr="0012498E">
              <w:rPr>
                <w:b/>
                <w:bCs/>
                <w:color w:val="000000"/>
                <w:sz w:val="20"/>
                <w:szCs w:val="20"/>
              </w:rPr>
              <w:t xml:space="preserve">) </w:t>
            </w:r>
          </w:p>
        </w:tc>
      </w:tr>
      <w:tr w:rsidR="00FD15B1" w:rsidRPr="0012498E" w14:paraId="0A4FF717" w14:textId="77777777" w:rsidTr="2DFE4DF5">
        <w:trPr>
          <w:trHeight w:val="240"/>
          <w:jc w:val="center"/>
        </w:trPr>
        <w:tc>
          <w:tcPr>
            <w:tcW w:w="4128" w:type="dxa"/>
            <w:tcBorders>
              <w:top w:val="single" w:sz="4" w:space="0" w:color="auto"/>
              <w:left w:val="single" w:sz="12" w:space="0" w:color="auto"/>
              <w:bottom w:val="single" w:sz="12" w:space="0" w:color="auto"/>
              <w:right w:val="single" w:sz="8" w:space="0" w:color="auto"/>
            </w:tcBorders>
            <w:shd w:val="clear" w:color="auto" w:fill="D9D9D9" w:themeFill="background1" w:themeFillShade="D9"/>
            <w:vAlign w:val="bottom"/>
            <w:hideMark/>
          </w:tcPr>
          <w:p w14:paraId="51ACBED5" w14:textId="1C2FAF31" w:rsidR="00FD15B1" w:rsidRPr="0012498E" w:rsidRDefault="00FD15B1" w:rsidP="00FD15B1">
            <w:pPr>
              <w:rPr>
                <w:rFonts w:eastAsia="Times New Roman" w:cs="Times New Roman"/>
                <w:b/>
                <w:bCs/>
                <w:color w:val="000000"/>
                <w:kern w:val="0"/>
                <w:sz w:val="20"/>
                <w:szCs w:val="20"/>
                <w:lang w:eastAsia="en-GB"/>
                <w14:ligatures w14:val="none"/>
              </w:rPr>
            </w:pPr>
            <w:r w:rsidRPr="0012498E">
              <w:rPr>
                <w:rFonts w:eastAsia="Times New Roman" w:cs="Times New Roman"/>
                <w:b/>
                <w:bCs/>
                <w:color w:val="000000"/>
                <w:kern w:val="0"/>
                <w:sz w:val="20"/>
                <w:szCs w:val="20"/>
                <w:lang w:eastAsia="en-GB"/>
                <w14:ligatures w14:val="none"/>
              </w:rPr>
              <w:t xml:space="preserve">Total </w:t>
            </w:r>
            <w:r w:rsidR="168A7254" w:rsidRPr="0012498E">
              <w:rPr>
                <w:rFonts w:eastAsia="Times New Roman" w:cs="Times New Roman"/>
                <w:b/>
                <w:bCs/>
                <w:color w:val="000000"/>
                <w:kern w:val="0"/>
                <w:sz w:val="20"/>
                <w:szCs w:val="20"/>
                <w:lang w:eastAsia="en-GB"/>
                <w14:ligatures w14:val="none"/>
              </w:rPr>
              <w:t xml:space="preserve">Specific </w:t>
            </w:r>
            <w:r w:rsidRPr="0012498E">
              <w:rPr>
                <w:rFonts w:eastAsia="Times New Roman" w:cs="Times New Roman"/>
                <w:b/>
                <w:bCs/>
                <w:color w:val="000000"/>
                <w:kern w:val="0"/>
                <w:sz w:val="20"/>
                <w:szCs w:val="20"/>
                <w:lang w:eastAsia="en-GB"/>
                <w14:ligatures w14:val="none"/>
              </w:rPr>
              <w:t xml:space="preserve">Government </w:t>
            </w:r>
            <w:r w:rsidR="0279D42B" w:rsidRPr="0012498E">
              <w:rPr>
                <w:rFonts w:eastAsia="Times New Roman" w:cs="Times New Roman"/>
                <w:b/>
                <w:bCs/>
                <w:color w:val="000000"/>
                <w:kern w:val="0"/>
                <w:sz w:val="20"/>
                <w:szCs w:val="20"/>
                <w:lang w:eastAsia="en-GB"/>
                <w14:ligatures w14:val="none"/>
              </w:rPr>
              <w:t>Grants</w:t>
            </w:r>
          </w:p>
        </w:tc>
        <w:tc>
          <w:tcPr>
            <w:tcW w:w="3402" w:type="dxa"/>
            <w:tcBorders>
              <w:top w:val="nil"/>
              <w:left w:val="nil"/>
              <w:bottom w:val="single" w:sz="12" w:space="0" w:color="auto"/>
              <w:right w:val="single" w:sz="12" w:space="0" w:color="auto"/>
            </w:tcBorders>
            <w:shd w:val="clear" w:color="auto" w:fill="D9D9D9" w:themeFill="background1" w:themeFillShade="D9"/>
            <w:noWrap/>
            <w:vAlign w:val="bottom"/>
            <w:hideMark/>
          </w:tcPr>
          <w:p w14:paraId="6B21CA04" w14:textId="70FCF63C" w:rsidR="00FD15B1" w:rsidRPr="0012498E" w:rsidRDefault="00234045" w:rsidP="00FD15B1">
            <w:pPr>
              <w:jc w:val="right"/>
              <w:rPr>
                <w:rFonts w:eastAsia="Times New Roman" w:cs="Times New Roman"/>
                <w:b/>
                <w:bCs/>
                <w:color w:val="000000"/>
                <w:kern w:val="0"/>
                <w:sz w:val="20"/>
                <w:szCs w:val="20"/>
                <w:lang w:eastAsia="en-GB"/>
                <w14:ligatures w14:val="none"/>
              </w:rPr>
            </w:pPr>
            <w:r w:rsidRPr="0012498E">
              <w:rPr>
                <w:b/>
                <w:color w:val="000000"/>
                <w:sz w:val="20"/>
                <w:szCs w:val="20"/>
              </w:rPr>
              <w:t>(</w:t>
            </w:r>
            <w:r w:rsidR="00BA248B">
              <w:rPr>
                <w:b/>
                <w:color w:val="000000"/>
                <w:sz w:val="20"/>
                <w:szCs w:val="20"/>
              </w:rPr>
              <w:t>81,624)</w:t>
            </w:r>
            <w:r w:rsidRPr="0012498E">
              <w:rPr>
                <w:b/>
                <w:color w:val="000000"/>
                <w:sz w:val="20"/>
                <w:szCs w:val="20"/>
              </w:rPr>
              <w:t xml:space="preserve"> </w:t>
            </w:r>
          </w:p>
        </w:tc>
      </w:tr>
    </w:tbl>
    <w:p w14:paraId="30943D0C" w14:textId="77777777" w:rsidR="00533F16" w:rsidRPr="004F0589" w:rsidRDefault="00533F16" w:rsidP="00533F16">
      <w:pPr>
        <w:pStyle w:val="ListParagraph"/>
        <w:spacing w:line="276" w:lineRule="auto"/>
        <w:ind w:left="360" w:right="140"/>
        <w:rPr>
          <w:rFonts w:ascii="Inter" w:hAnsi="Inter" w:cs="Arial"/>
          <w:b/>
          <w:bCs/>
        </w:rPr>
      </w:pPr>
    </w:p>
    <w:p w14:paraId="115CF719" w14:textId="47CBB864" w:rsidR="41590B60" w:rsidRPr="000810B8" w:rsidRDefault="00476BBB" w:rsidP="2DFE4DF5">
      <w:pPr>
        <w:pStyle w:val="ListParagraph"/>
        <w:spacing w:line="276" w:lineRule="auto"/>
        <w:ind w:left="360" w:right="140"/>
        <w:rPr>
          <w:rFonts w:ascii="Inter" w:hAnsi="Inter" w:cs="Arial"/>
          <w:b/>
          <w:bCs/>
        </w:rPr>
      </w:pPr>
      <w:r w:rsidRPr="2DFE4DF5">
        <w:rPr>
          <w:rFonts w:ascii="Inter" w:hAnsi="Inter" w:cs="Arial"/>
          <w:b/>
          <w:bCs/>
        </w:rPr>
        <w:lastRenderedPageBreak/>
        <w:t>Business Sol</w:t>
      </w:r>
      <w:r w:rsidR="0087655B" w:rsidRPr="2DFE4DF5">
        <w:rPr>
          <w:rFonts w:ascii="Inter" w:hAnsi="Inter" w:cs="Arial"/>
          <w:b/>
          <w:bCs/>
        </w:rPr>
        <w:t>utions grants</w:t>
      </w:r>
    </w:p>
    <w:p w14:paraId="2E354D2D" w14:textId="7FC81E6F" w:rsidR="00067732" w:rsidRPr="00067732" w:rsidRDefault="000278FF" w:rsidP="00AD4EE9">
      <w:pPr>
        <w:pStyle w:val="ListParagraph"/>
        <w:numPr>
          <w:ilvl w:val="0"/>
          <w:numId w:val="14"/>
        </w:numPr>
        <w:spacing w:line="276" w:lineRule="auto"/>
        <w:ind w:right="140"/>
        <w:rPr>
          <w:rFonts w:ascii="Inter" w:hAnsi="Inter" w:cs="Arial"/>
        </w:rPr>
      </w:pPr>
      <w:r w:rsidRPr="2DFE4DF5">
        <w:rPr>
          <w:rFonts w:ascii="Inter" w:hAnsi="Inter" w:cs="Arial"/>
        </w:rPr>
        <w:t xml:space="preserve">BEIS </w:t>
      </w:r>
      <w:r w:rsidR="00067732" w:rsidRPr="2DFE4DF5">
        <w:rPr>
          <w:rFonts w:ascii="Inter" w:hAnsi="Inter" w:cs="Arial"/>
        </w:rPr>
        <w:t>Business Growth</w:t>
      </w:r>
      <w:r w:rsidR="00DF4017" w:rsidRPr="2DFE4DF5">
        <w:rPr>
          <w:rFonts w:ascii="Inter" w:hAnsi="Inter" w:cs="Arial"/>
        </w:rPr>
        <w:t xml:space="preserve"> Hub </w:t>
      </w:r>
      <w:r w:rsidR="00C7700B" w:rsidRPr="2DFE4DF5">
        <w:rPr>
          <w:rFonts w:ascii="Inter" w:hAnsi="Inter" w:cs="Arial"/>
        </w:rPr>
        <w:t xml:space="preserve">offers support to local business </w:t>
      </w:r>
      <w:r w:rsidR="15A2FD0D" w:rsidRPr="2DFE4DF5">
        <w:rPr>
          <w:rFonts w:ascii="Inter" w:hAnsi="Inter" w:cs="Arial"/>
        </w:rPr>
        <w:t>through</w:t>
      </w:r>
      <w:r w:rsidR="00C7700B" w:rsidRPr="2DFE4DF5">
        <w:rPr>
          <w:rFonts w:ascii="Inter" w:hAnsi="Inter" w:cs="Arial"/>
        </w:rPr>
        <w:t xml:space="preserve"> dedicated advisors within the Business solutions team</w:t>
      </w:r>
      <w:r w:rsidR="4964A366" w:rsidRPr="2DFE4DF5">
        <w:rPr>
          <w:rFonts w:ascii="Inter" w:hAnsi="Inter" w:cs="Arial"/>
        </w:rPr>
        <w:t>.</w:t>
      </w:r>
      <w:r w:rsidR="00267B5F" w:rsidRPr="2DFE4DF5">
        <w:rPr>
          <w:rFonts w:ascii="Inter" w:hAnsi="Inter" w:cs="Arial"/>
        </w:rPr>
        <w:t xml:space="preserve"> </w:t>
      </w:r>
      <w:r w:rsidR="08FE9F23" w:rsidRPr="2DFE4DF5">
        <w:rPr>
          <w:rFonts w:ascii="Inter" w:hAnsi="Inter" w:cs="Arial"/>
        </w:rPr>
        <w:t>G</w:t>
      </w:r>
      <w:r w:rsidR="008467E8" w:rsidRPr="2DFE4DF5">
        <w:rPr>
          <w:rFonts w:ascii="Inter" w:hAnsi="Inter" w:cs="Arial"/>
        </w:rPr>
        <w:t xml:space="preserve">rant funding is received annually </w:t>
      </w:r>
      <w:r w:rsidR="000A085A" w:rsidRPr="2DFE4DF5">
        <w:rPr>
          <w:rFonts w:ascii="Inter" w:hAnsi="Inter" w:cs="Arial"/>
        </w:rPr>
        <w:t xml:space="preserve">to fund the cost of these advisors, </w:t>
      </w:r>
      <w:r w:rsidR="005B355B" w:rsidRPr="2DFE4DF5">
        <w:rPr>
          <w:rFonts w:ascii="Inter" w:hAnsi="Inter" w:cs="Arial"/>
        </w:rPr>
        <w:t>£</w:t>
      </w:r>
      <w:r w:rsidR="000810B8" w:rsidRPr="2DFE4DF5">
        <w:rPr>
          <w:rFonts w:ascii="Inter" w:hAnsi="Inter" w:cs="Arial"/>
        </w:rPr>
        <w:t>0.</w:t>
      </w:r>
      <w:r w:rsidR="005B355B" w:rsidRPr="2DFE4DF5">
        <w:rPr>
          <w:rFonts w:ascii="Inter" w:hAnsi="Inter" w:cs="Arial"/>
        </w:rPr>
        <w:t>315</w:t>
      </w:r>
      <w:r w:rsidR="000810B8" w:rsidRPr="2DFE4DF5">
        <w:rPr>
          <w:rFonts w:ascii="Inter" w:hAnsi="Inter" w:cs="Arial"/>
        </w:rPr>
        <w:t xml:space="preserve">m </w:t>
      </w:r>
      <w:r w:rsidR="008600C6" w:rsidRPr="2DFE4DF5">
        <w:rPr>
          <w:rFonts w:ascii="Inter" w:hAnsi="Inter" w:cs="Arial"/>
        </w:rPr>
        <w:t>is expected in 2026/27.</w:t>
      </w:r>
    </w:p>
    <w:p w14:paraId="5F968750" w14:textId="77777777" w:rsidR="00820C13" w:rsidRDefault="00820C13" w:rsidP="009A28CF">
      <w:pPr>
        <w:pStyle w:val="ListParagraph"/>
        <w:spacing w:line="276" w:lineRule="auto"/>
        <w:ind w:right="140"/>
        <w:rPr>
          <w:rFonts w:ascii="Inter" w:hAnsi="Inter" w:cs="Arial"/>
        </w:rPr>
      </w:pPr>
    </w:p>
    <w:p w14:paraId="2D0185A6" w14:textId="6FC8C032" w:rsidR="008600C6" w:rsidRPr="00067732" w:rsidRDefault="000278FF" w:rsidP="00AD4EE9">
      <w:pPr>
        <w:pStyle w:val="ListParagraph"/>
        <w:numPr>
          <w:ilvl w:val="0"/>
          <w:numId w:val="14"/>
        </w:numPr>
        <w:spacing w:line="276" w:lineRule="auto"/>
        <w:ind w:right="140"/>
        <w:rPr>
          <w:rFonts w:ascii="Inter" w:hAnsi="Inter" w:cs="Arial"/>
        </w:rPr>
      </w:pPr>
      <w:r w:rsidRPr="2DFE4DF5">
        <w:rPr>
          <w:rFonts w:ascii="Inter" w:hAnsi="Inter" w:cs="Arial"/>
        </w:rPr>
        <w:t xml:space="preserve">BEIS Net Zero Hub </w:t>
      </w:r>
      <w:r w:rsidR="00712E20" w:rsidRPr="2DFE4DF5">
        <w:rPr>
          <w:rFonts w:ascii="Inter" w:hAnsi="Inter" w:cs="Arial"/>
        </w:rPr>
        <w:t xml:space="preserve">is part of a national network aimed at supporting local </w:t>
      </w:r>
      <w:r w:rsidR="00FE5242" w:rsidRPr="2DFE4DF5">
        <w:rPr>
          <w:rFonts w:ascii="Inter" w:hAnsi="Inter" w:cs="Arial"/>
        </w:rPr>
        <w:t>areas in developing and delivering energy projects to achieve net zero goals</w:t>
      </w:r>
      <w:r w:rsidR="00F84D89" w:rsidRPr="2DFE4DF5">
        <w:rPr>
          <w:rFonts w:ascii="Inter" w:hAnsi="Inter" w:cs="Arial"/>
        </w:rPr>
        <w:t xml:space="preserve">, focussing on community energy </w:t>
      </w:r>
      <w:r w:rsidR="00751969" w:rsidRPr="2DFE4DF5">
        <w:rPr>
          <w:rFonts w:ascii="Inter" w:hAnsi="Inter" w:cs="Arial"/>
        </w:rPr>
        <w:t>initiatives</w:t>
      </w:r>
      <w:r w:rsidR="00244B04" w:rsidRPr="2DFE4DF5">
        <w:rPr>
          <w:rFonts w:ascii="Inter" w:hAnsi="Inter" w:cs="Arial"/>
        </w:rPr>
        <w:t xml:space="preserve"> and providing </w:t>
      </w:r>
      <w:r w:rsidR="00275D89" w:rsidRPr="2DFE4DF5">
        <w:rPr>
          <w:rFonts w:ascii="Inter" w:hAnsi="Inter" w:cs="Arial"/>
        </w:rPr>
        <w:t>resources and funding for local projects</w:t>
      </w:r>
      <w:r w:rsidR="31D37B48" w:rsidRPr="2DFE4DF5">
        <w:rPr>
          <w:rFonts w:ascii="Inter" w:hAnsi="Inter" w:cs="Arial"/>
        </w:rPr>
        <w:t>.</w:t>
      </w:r>
      <w:r w:rsidR="00753CE3" w:rsidRPr="2DFE4DF5">
        <w:rPr>
          <w:rFonts w:ascii="Inter" w:hAnsi="Inter" w:cs="Arial"/>
        </w:rPr>
        <w:t xml:space="preserve"> </w:t>
      </w:r>
      <w:r w:rsidR="61679BBF" w:rsidRPr="2DFE4DF5">
        <w:rPr>
          <w:rFonts w:ascii="Inter" w:hAnsi="Inter" w:cs="Arial"/>
        </w:rPr>
        <w:t>G</w:t>
      </w:r>
      <w:r w:rsidR="00753CE3" w:rsidRPr="2DFE4DF5">
        <w:rPr>
          <w:rFonts w:ascii="Inter" w:hAnsi="Inter" w:cs="Arial"/>
        </w:rPr>
        <w:t>rant funding is received annually with £1</w:t>
      </w:r>
      <w:r w:rsidR="000810B8" w:rsidRPr="2DFE4DF5">
        <w:rPr>
          <w:rFonts w:ascii="Inter" w:hAnsi="Inter" w:cs="Arial"/>
        </w:rPr>
        <w:t>.</w:t>
      </w:r>
      <w:r w:rsidR="00753CE3" w:rsidRPr="2DFE4DF5">
        <w:rPr>
          <w:rFonts w:ascii="Inter" w:hAnsi="Inter" w:cs="Arial"/>
        </w:rPr>
        <w:t>125</w:t>
      </w:r>
      <w:r w:rsidR="000810B8" w:rsidRPr="2DFE4DF5">
        <w:rPr>
          <w:rFonts w:ascii="Inter" w:hAnsi="Inter" w:cs="Arial"/>
        </w:rPr>
        <w:t>m</w:t>
      </w:r>
      <w:r w:rsidR="001C4D92" w:rsidRPr="2DFE4DF5">
        <w:rPr>
          <w:rFonts w:ascii="Inter" w:hAnsi="Inter" w:cs="Arial"/>
        </w:rPr>
        <w:t xml:space="preserve"> budgeted for in 2026/27.</w:t>
      </w:r>
    </w:p>
    <w:p w14:paraId="2723BE79" w14:textId="77777777" w:rsidR="00714760" w:rsidRPr="00714760" w:rsidRDefault="00714760" w:rsidP="009A28CF">
      <w:pPr>
        <w:pStyle w:val="ListParagraph"/>
        <w:spacing w:line="276" w:lineRule="auto"/>
        <w:ind w:right="140"/>
        <w:rPr>
          <w:rFonts w:ascii="Inter" w:hAnsi="Inter" w:cs="Arial"/>
        </w:rPr>
      </w:pPr>
    </w:p>
    <w:p w14:paraId="552AFE4A" w14:textId="4750ED52" w:rsidR="009A28CF" w:rsidRPr="004B5CE5" w:rsidRDefault="00714760" w:rsidP="00AD4EE9">
      <w:pPr>
        <w:pStyle w:val="ListParagraph"/>
        <w:numPr>
          <w:ilvl w:val="0"/>
          <w:numId w:val="14"/>
        </w:numPr>
        <w:spacing w:line="276" w:lineRule="auto"/>
        <w:ind w:right="140"/>
        <w:rPr>
          <w:rFonts w:ascii="Inter" w:hAnsi="Inter" w:cs="Arial"/>
        </w:rPr>
      </w:pPr>
      <w:r w:rsidRPr="004B5CE5">
        <w:rPr>
          <w:rFonts w:ascii="Inter" w:hAnsi="Inter" w:cs="Arial"/>
        </w:rPr>
        <w:t>There are a large number of grants received to provide funding for Education, Employment and Skills, these are detailed below.</w:t>
      </w:r>
    </w:p>
    <w:p w14:paraId="6F4AB3E3" w14:textId="4079ECF8" w:rsidR="7A0DF0E5" w:rsidRDefault="7A0DF0E5" w:rsidP="09933348">
      <w:pPr>
        <w:pStyle w:val="ListParagraph"/>
        <w:spacing w:line="276" w:lineRule="auto"/>
        <w:ind w:left="1080" w:right="140"/>
        <w:rPr>
          <w:rFonts w:ascii="Inter" w:hAnsi="Inter" w:cs="Arial"/>
        </w:rPr>
      </w:pPr>
    </w:p>
    <w:p w14:paraId="734FD4B5" w14:textId="22D0933C" w:rsidR="00CC6E0A" w:rsidRDefault="00E321EA" w:rsidP="00AD4EE9">
      <w:pPr>
        <w:pStyle w:val="ListParagraph"/>
        <w:numPr>
          <w:ilvl w:val="1"/>
          <w:numId w:val="14"/>
        </w:numPr>
        <w:spacing w:line="276" w:lineRule="auto"/>
        <w:ind w:right="140"/>
        <w:rPr>
          <w:rFonts w:ascii="Inter" w:hAnsi="Inter" w:cs="Arial"/>
        </w:rPr>
      </w:pPr>
      <w:r w:rsidRPr="2DFE4DF5">
        <w:rPr>
          <w:rFonts w:ascii="Inter" w:hAnsi="Inter" w:cs="Arial"/>
        </w:rPr>
        <w:t>Skills Bootcamp</w:t>
      </w:r>
      <w:r w:rsidR="00B537CB" w:rsidRPr="2DFE4DF5">
        <w:rPr>
          <w:rFonts w:ascii="Inter" w:hAnsi="Inter" w:cs="Arial"/>
        </w:rPr>
        <w:t xml:space="preserve"> funding is </w:t>
      </w:r>
      <w:r w:rsidR="00CC6E0A" w:rsidRPr="2DFE4DF5">
        <w:rPr>
          <w:rFonts w:ascii="Inter" w:hAnsi="Inter" w:cs="Arial"/>
        </w:rPr>
        <w:t xml:space="preserve">provided </w:t>
      </w:r>
      <w:r w:rsidR="00B537CB" w:rsidRPr="2DFE4DF5">
        <w:rPr>
          <w:rFonts w:ascii="Inter" w:hAnsi="Inter" w:cs="Arial"/>
        </w:rPr>
        <w:t xml:space="preserve">to </w:t>
      </w:r>
      <w:r w:rsidR="00CC6E0A" w:rsidRPr="2DFE4DF5">
        <w:rPr>
          <w:rFonts w:ascii="Inter" w:hAnsi="Inter" w:cs="Arial"/>
        </w:rPr>
        <w:t>support</w:t>
      </w:r>
      <w:r w:rsidR="00B537CB" w:rsidRPr="2DFE4DF5">
        <w:rPr>
          <w:rFonts w:ascii="Inter" w:hAnsi="Inter" w:cs="Arial"/>
        </w:rPr>
        <w:t xml:space="preserve"> </w:t>
      </w:r>
      <w:r w:rsidR="006944F0" w:rsidRPr="2DFE4DF5">
        <w:rPr>
          <w:rFonts w:ascii="Inter" w:hAnsi="Inter" w:cs="Arial"/>
        </w:rPr>
        <w:t xml:space="preserve">flexible </w:t>
      </w:r>
      <w:r w:rsidR="000F25FC" w:rsidRPr="2DFE4DF5">
        <w:rPr>
          <w:rFonts w:ascii="Inter" w:hAnsi="Inter" w:cs="Arial"/>
        </w:rPr>
        <w:t>courses for adults aged 19</w:t>
      </w:r>
      <w:r w:rsidR="00CC6E0A" w:rsidRPr="2DFE4DF5">
        <w:rPr>
          <w:rFonts w:ascii="Inter" w:hAnsi="Inter" w:cs="Arial"/>
        </w:rPr>
        <w:t xml:space="preserve"> and over, helping them develop</w:t>
      </w:r>
      <w:r w:rsidR="00CD60AD" w:rsidRPr="2DFE4DF5">
        <w:rPr>
          <w:rFonts w:ascii="Inter" w:hAnsi="Inter" w:cs="Arial"/>
        </w:rPr>
        <w:t xml:space="preserve"> sector</w:t>
      </w:r>
      <w:r w:rsidR="508770B1" w:rsidRPr="2DFE4DF5">
        <w:rPr>
          <w:rFonts w:ascii="Inter" w:hAnsi="Inter" w:cs="Arial"/>
        </w:rPr>
        <w:t xml:space="preserve"> </w:t>
      </w:r>
      <w:r w:rsidR="00CC6E0A" w:rsidRPr="2DFE4DF5">
        <w:rPr>
          <w:rFonts w:ascii="Inter" w:hAnsi="Inter" w:cs="Arial"/>
        </w:rPr>
        <w:t>specific</w:t>
      </w:r>
      <w:r w:rsidR="00CD60AD" w:rsidRPr="2DFE4DF5">
        <w:rPr>
          <w:rFonts w:ascii="Inter" w:hAnsi="Inter" w:cs="Arial"/>
        </w:rPr>
        <w:t xml:space="preserve"> skills </w:t>
      </w:r>
      <w:r w:rsidR="009D4492" w:rsidRPr="2DFE4DF5">
        <w:rPr>
          <w:rFonts w:ascii="Inter" w:hAnsi="Inter" w:cs="Arial"/>
        </w:rPr>
        <w:t xml:space="preserve">that local employers </w:t>
      </w:r>
      <w:r w:rsidR="00CC6E0A" w:rsidRPr="2DFE4DF5">
        <w:rPr>
          <w:rFonts w:ascii="Inter" w:hAnsi="Inter" w:cs="Arial"/>
        </w:rPr>
        <w:t>need. The</w:t>
      </w:r>
      <w:r w:rsidR="00917924" w:rsidRPr="2DFE4DF5">
        <w:rPr>
          <w:rFonts w:ascii="Inter" w:hAnsi="Inter" w:cs="Arial"/>
        </w:rPr>
        <w:t xml:space="preserve"> </w:t>
      </w:r>
      <w:r w:rsidR="00BE3ABE" w:rsidRPr="2DFE4DF5">
        <w:rPr>
          <w:rFonts w:ascii="Inter" w:hAnsi="Inter" w:cs="Arial"/>
        </w:rPr>
        <w:t xml:space="preserve">grant </w:t>
      </w:r>
      <w:r w:rsidR="00CC6E0A" w:rsidRPr="2DFE4DF5">
        <w:rPr>
          <w:rFonts w:ascii="Inter" w:hAnsi="Inter" w:cs="Arial"/>
        </w:rPr>
        <w:t>is released</w:t>
      </w:r>
      <w:r w:rsidR="00BE3ABE" w:rsidRPr="2DFE4DF5">
        <w:rPr>
          <w:rFonts w:ascii="Inter" w:hAnsi="Inter" w:cs="Arial"/>
        </w:rPr>
        <w:t xml:space="preserve"> in waves</w:t>
      </w:r>
      <w:r w:rsidR="00CC6E0A" w:rsidRPr="2DFE4DF5">
        <w:rPr>
          <w:rFonts w:ascii="Inter" w:hAnsi="Inter" w:cs="Arial"/>
        </w:rPr>
        <w:t>,</w:t>
      </w:r>
      <w:r w:rsidR="00BE3ABE" w:rsidRPr="2DFE4DF5">
        <w:rPr>
          <w:rFonts w:ascii="Inter" w:hAnsi="Inter" w:cs="Arial"/>
        </w:rPr>
        <w:t xml:space="preserve"> and </w:t>
      </w:r>
      <w:r w:rsidR="00715737">
        <w:rPr>
          <w:rFonts w:ascii="Inter" w:hAnsi="Inter" w:cs="Arial"/>
        </w:rPr>
        <w:t>T</w:t>
      </w:r>
      <w:r w:rsidR="61B0C731" w:rsidRPr="2DFE4DF5">
        <w:rPr>
          <w:rFonts w:ascii="Inter" w:hAnsi="Inter" w:cs="Arial"/>
        </w:rPr>
        <w:t>VCA is</w:t>
      </w:r>
      <w:r w:rsidR="00B14C60" w:rsidRPr="2DFE4DF5">
        <w:rPr>
          <w:rFonts w:ascii="Inter" w:hAnsi="Inter" w:cs="Arial"/>
        </w:rPr>
        <w:t xml:space="preserve"> currently delivering </w:t>
      </w:r>
      <w:r w:rsidR="00CC6E0A" w:rsidRPr="2DFE4DF5">
        <w:rPr>
          <w:rFonts w:ascii="Inter" w:hAnsi="Inter" w:cs="Arial"/>
        </w:rPr>
        <w:t>Waves</w:t>
      </w:r>
      <w:r w:rsidR="00B14C60" w:rsidRPr="2DFE4DF5">
        <w:rPr>
          <w:rFonts w:ascii="Inter" w:hAnsi="Inter" w:cs="Arial"/>
        </w:rPr>
        <w:t xml:space="preserve"> 5 </w:t>
      </w:r>
      <w:r w:rsidR="00CC6E0A" w:rsidRPr="2DFE4DF5">
        <w:rPr>
          <w:rFonts w:ascii="Inter" w:hAnsi="Inter" w:cs="Arial"/>
        </w:rPr>
        <w:t>and</w:t>
      </w:r>
      <w:r w:rsidR="00B14C60" w:rsidRPr="2DFE4DF5">
        <w:rPr>
          <w:rFonts w:ascii="Inter" w:hAnsi="Inter" w:cs="Arial"/>
        </w:rPr>
        <w:t xml:space="preserve"> 6, </w:t>
      </w:r>
      <w:r w:rsidR="00CC6E0A" w:rsidRPr="2DFE4DF5">
        <w:rPr>
          <w:rFonts w:ascii="Inter" w:hAnsi="Inter" w:cs="Arial"/>
        </w:rPr>
        <w:t xml:space="preserve">with </w:t>
      </w:r>
      <w:r w:rsidR="00B14C60" w:rsidRPr="2DFE4DF5">
        <w:rPr>
          <w:rFonts w:ascii="Inter" w:hAnsi="Inter" w:cs="Arial"/>
        </w:rPr>
        <w:t xml:space="preserve">applications open for </w:t>
      </w:r>
      <w:r w:rsidR="00CC6E0A" w:rsidRPr="2DFE4DF5">
        <w:rPr>
          <w:rFonts w:ascii="Inter" w:hAnsi="Inter" w:cs="Arial"/>
        </w:rPr>
        <w:t>Wave</w:t>
      </w:r>
      <w:r w:rsidR="00B14C60" w:rsidRPr="2DFE4DF5">
        <w:rPr>
          <w:rFonts w:ascii="Inter" w:hAnsi="Inter" w:cs="Arial"/>
        </w:rPr>
        <w:t xml:space="preserve"> 7</w:t>
      </w:r>
      <w:r w:rsidR="00CC6E0A" w:rsidRPr="2DFE4DF5">
        <w:rPr>
          <w:rFonts w:ascii="Inter" w:hAnsi="Inter" w:cs="Arial"/>
        </w:rPr>
        <w:t>. For budgeting purposes, the £3.9</w:t>
      </w:r>
      <w:r w:rsidR="000810B8" w:rsidRPr="2DFE4DF5">
        <w:rPr>
          <w:rFonts w:ascii="Inter" w:hAnsi="Inter" w:cs="Arial"/>
        </w:rPr>
        <w:t>12</w:t>
      </w:r>
      <w:r w:rsidR="00CC6E0A" w:rsidRPr="2DFE4DF5">
        <w:rPr>
          <w:rFonts w:ascii="Inter" w:hAnsi="Inter" w:cs="Arial"/>
        </w:rPr>
        <w:t xml:space="preserve"> million grant received for Wave 6 has been used as the estimate for the 2026/27 financial year.</w:t>
      </w:r>
    </w:p>
    <w:p w14:paraId="4D82DA42" w14:textId="77777777" w:rsidR="00F5161A" w:rsidRPr="00CC6E0A" w:rsidRDefault="00F5161A" w:rsidP="00F5161A">
      <w:pPr>
        <w:pStyle w:val="ListParagraph"/>
        <w:spacing w:line="276" w:lineRule="auto"/>
        <w:ind w:right="140"/>
        <w:rPr>
          <w:rFonts w:ascii="Inter" w:hAnsi="Inter" w:cs="Arial"/>
        </w:rPr>
      </w:pPr>
    </w:p>
    <w:p w14:paraId="58255D69" w14:textId="0EBF3FAD" w:rsidR="00F5161A" w:rsidRPr="00F5161A" w:rsidRDefault="00714760" w:rsidP="00AD4EE9">
      <w:pPr>
        <w:pStyle w:val="ListParagraph"/>
        <w:numPr>
          <w:ilvl w:val="1"/>
          <w:numId w:val="14"/>
        </w:numPr>
        <w:spacing w:line="276" w:lineRule="auto"/>
        <w:ind w:right="140"/>
        <w:rPr>
          <w:rFonts w:ascii="Inter" w:hAnsi="Inter" w:cs="Arial"/>
        </w:rPr>
      </w:pPr>
      <w:r w:rsidRPr="2DFE4DF5">
        <w:rPr>
          <w:rFonts w:ascii="Inter" w:hAnsi="Inter" w:cs="Arial"/>
        </w:rPr>
        <w:t>Adult Education</w:t>
      </w:r>
      <w:r w:rsidR="2813902F" w:rsidRPr="2DFE4DF5">
        <w:rPr>
          <w:rFonts w:ascii="Inter" w:hAnsi="Inter" w:cs="Arial"/>
        </w:rPr>
        <w:t xml:space="preserve"> funding</w:t>
      </w:r>
      <w:r w:rsidRPr="2DFE4DF5">
        <w:rPr>
          <w:rFonts w:ascii="Inter" w:hAnsi="Inter" w:cs="Arial"/>
        </w:rPr>
        <w:t xml:space="preserve"> </w:t>
      </w:r>
      <w:r w:rsidR="00E62AE5" w:rsidRPr="2DFE4DF5">
        <w:rPr>
          <w:rFonts w:ascii="Inter" w:hAnsi="Inter" w:cs="Arial"/>
        </w:rPr>
        <w:t>provides</w:t>
      </w:r>
      <w:r w:rsidR="0061452C" w:rsidRPr="2DFE4DF5">
        <w:rPr>
          <w:rFonts w:ascii="Inter" w:hAnsi="Inter" w:cs="Arial"/>
        </w:rPr>
        <w:t xml:space="preserve"> course</w:t>
      </w:r>
      <w:r w:rsidR="0072209E" w:rsidRPr="2DFE4DF5">
        <w:rPr>
          <w:rFonts w:ascii="Inter" w:hAnsi="Inter" w:cs="Arial"/>
        </w:rPr>
        <w:t>s</w:t>
      </w:r>
      <w:r w:rsidR="0061452C" w:rsidRPr="2DFE4DF5">
        <w:rPr>
          <w:rFonts w:ascii="Inter" w:hAnsi="Inter" w:cs="Arial"/>
        </w:rPr>
        <w:t xml:space="preserve"> </w:t>
      </w:r>
      <w:r w:rsidR="00F44962" w:rsidRPr="2DFE4DF5">
        <w:rPr>
          <w:rFonts w:ascii="Inter" w:hAnsi="Inter" w:cs="Arial"/>
        </w:rPr>
        <w:t>for adults aged 19+ to</w:t>
      </w:r>
      <w:r w:rsidR="00E62AE5" w:rsidRPr="2DFE4DF5">
        <w:rPr>
          <w:rFonts w:ascii="Inter" w:hAnsi="Inter" w:cs="Arial"/>
        </w:rPr>
        <w:t xml:space="preserve"> </w:t>
      </w:r>
      <w:r w:rsidR="00F44962" w:rsidRPr="2DFE4DF5">
        <w:rPr>
          <w:rFonts w:ascii="Inter" w:hAnsi="Inter" w:cs="Arial"/>
        </w:rPr>
        <w:t>g</w:t>
      </w:r>
      <w:r w:rsidR="0061452C" w:rsidRPr="2DFE4DF5">
        <w:rPr>
          <w:rFonts w:ascii="Inter" w:hAnsi="Inter" w:cs="Arial"/>
        </w:rPr>
        <w:t>ain skills which will lead them to meaningful, sustained, and relevant employment, or enable them to progress to further learning which will deliver that outcome.</w:t>
      </w:r>
      <w:r w:rsidR="005F34A6" w:rsidRPr="2DFE4DF5">
        <w:rPr>
          <w:rFonts w:ascii="Inter" w:hAnsi="Inter" w:cs="Arial"/>
        </w:rPr>
        <w:t xml:space="preserve"> Funding </w:t>
      </w:r>
      <w:r w:rsidR="0062147A" w:rsidRPr="2DFE4DF5">
        <w:rPr>
          <w:rFonts w:ascii="Inter" w:hAnsi="Inter" w:cs="Arial"/>
        </w:rPr>
        <w:t>allocated annual</w:t>
      </w:r>
      <w:r w:rsidR="00124E70" w:rsidRPr="2DFE4DF5">
        <w:rPr>
          <w:rFonts w:ascii="Inter" w:hAnsi="Inter" w:cs="Arial"/>
        </w:rPr>
        <w:t>ly by formu</w:t>
      </w:r>
      <w:r w:rsidR="00166AC6" w:rsidRPr="2DFE4DF5">
        <w:rPr>
          <w:rFonts w:ascii="Inter" w:hAnsi="Inter" w:cs="Arial"/>
        </w:rPr>
        <w:t>la</w:t>
      </w:r>
      <w:r w:rsidR="00FA54C4" w:rsidRPr="2DFE4DF5">
        <w:rPr>
          <w:rFonts w:ascii="Inter" w:hAnsi="Inter" w:cs="Arial"/>
        </w:rPr>
        <w:t xml:space="preserve"> along with a % increase</w:t>
      </w:r>
      <w:r w:rsidR="38EC4C1C" w:rsidRPr="2DFE4DF5">
        <w:rPr>
          <w:rFonts w:ascii="Inter" w:hAnsi="Inter" w:cs="Arial"/>
        </w:rPr>
        <w:t>. A</w:t>
      </w:r>
      <w:r w:rsidR="0029238A" w:rsidRPr="2DFE4DF5">
        <w:rPr>
          <w:rFonts w:ascii="Inter" w:hAnsi="Inter" w:cs="Arial"/>
        </w:rPr>
        <w:t xml:space="preserve">s </w:t>
      </w:r>
      <w:r w:rsidR="005D24BA" w:rsidRPr="2DFE4DF5">
        <w:rPr>
          <w:rFonts w:ascii="Inter" w:hAnsi="Inter" w:cs="Arial"/>
        </w:rPr>
        <w:t xml:space="preserve">funding is based on </w:t>
      </w:r>
      <w:r w:rsidR="262074AC" w:rsidRPr="2DFE4DF5">
        <w:rPr>
          <w:rFonts w:ascii="Inter" w:hAnsi="Inter" w:cs="Arial"/>
        </w:rPr>
        <w:t>academic</w:t>
      </w:r>
      <w:r w:rsidR="005D24BA" w:rsidRPr="2DFE4DF5">
        <w:rPr>
          <w:rFonts w:ascii="Inter" w:hAnsi="Inter" w:cs="Arial"/>
        </w:rPr>
        <w:t xml:space="preserve"> years </w:t>
      </w:r>
      <w:r w:rsidR="007567D8" w:rsidRPr="2DFE4DF5">
        <w:rPr>
          <w:rFonts w:ascii="Inter" w:hAnsi="Inter" w:cs="Arial"/>
        </w:rPr>
        <w:t xml:space="preserve">the funding for </w:t>
      </w:r>
      <w:r w:rsidR="007467E4" w:rsidRPr="2DFE4DF5">
        <w:rPr>
          <w:rFonts w:ascii="Inter" w:hAnsi="Inter" w:cs="Arial"/>
        </w:rPr>
        <w:t>September 2026-March 2027 is not yet know</w:t>
      </w:r>
      <w:r w:rsidR="75F5C977" w:rsidRPr="2DFE4DF5">
        <w:rPr>
          <w:rFonts w:ascii="Inter" w:hAnsi="Inter" w:cs="Arial"/>
        </w:rPr>
        <w:t>n</w:t>
      </w:r>
      <w:r w:rsidR="007467E4" w:rsidRPr="2DFE4DF5">
        <w:rPr>
          <w:rFonts w:ascii="Inter" w:hAnsi="Inter" w:cs="Arial"/>
        </w:rPr>
        <w:t xml:space="preserve"> but a 4% assumption for increase has been applied</w:t>
      </w:r>
      <w:r w:rsidR="009D378B" w:rsidRPr="2DFE4DF5">
        <w:rPr>
          <w:rFonts w:ascii="Inter" w:hAnsi="Inter" w:cs="Arial"/>
        </w:rPr>
        <w:t xml:space="preserve"> forecasting a budget of </w:t>
      </w:r>
      <w:r w:rsidR="00F972AA" w:rsidRPr="2DFE4DF5">
        <w:rPr>
          <w:rFonts w:ascii="Inter" w:hAnsi="Inter" w:cs="Arial"/>
        </w:rPr>
        <w:t>c</w:t>
      </w:r>
      <w:r w:rsidR="009D378B" w:rsidRPr="2DFE4DF5">
        <w:rPr>
          <w:rFonts w:ascii="Inter" w:hAnsi="Inter" w:cs="Arial"/>
        </w:rPr>
        <w:t>£</w:t>
      </w:r>
      <w:r w:rsidR="00014152" w:rsidRPr="2DFE4DF5">
        <w:rPr>
          <w:rFonts w:ascii="Inter" w:hAnsi="Inter" w:cs="Arial"/>
        </w:rPr>
        <w:t>30m for 2026/27.</w:t>
      </w:r>
    </w:p>
    <w:p w14:paraId="781BA8BD" w14:textId="77777777" w:rsidR="00F5161A" w:rsidRDefault="00F5161A" w:rsidP="00F5161A">
      <w:pPr>
        <w:pStyle w:val="ListParagraph"/>
        <w:spacing w:line="276" w:lineRule="auto"/>
        <w:ind w:right="140"/>
        <w:rPr>
          <w:rFonts w:ascii="Inter" w:hAnsi="Inter" w:cs="Arial"/>
        </w:rPr>
      </w:pPr>
    </w:p>
    <w:p w14:paraId="62BA1D35" w14:textId="0CD5B9E3" w:rsidR="00014152" w:rsidRDefault="00014152" w:rsidP="00AD4EE9">
      <w:pPr>
        <w:pStyle w:val="ListParagraph"/>
        <w:numPr>
          <w:ilvl w:val="1"/>
          <w:numId w:val="14"/>
        </w:numPr>
        <w:spacing w:line="276" w:lineRule="auto"/>
        <w:ind w:right="140"/>
        <w:rPr>
          <w:rFonts w:ascii="Inter" w:hAnsi="Inter" w:cs="Arial"/>
        </w:rPr>
      </w:pPr>
      <w:r w:rsidRPr="2DFE4DF5">
        <w:rPr>
          <w:rFonts w:ascii="Inter" w:hAnsi="Inter" w:cs="Arial"/>
        </w:rPr>
        <w:t>L3 Courses</w:t>
      </w:r>
      <w:r w:rsidR="002E7AAB" w:rsidRPr="2DFE4DF5">
        <w:rPr>
          <w:rFonts w:ascii="Inter" w:hAnsi="Inter" w:cs="Arial"/>
        </w:rPr>
        <w:t xml:space="preserve"> </w:t>
      </w:r>
      <w:r w:rsidR="00F16A38" w:rsidRPr="2DFE4DF5">
        <w:rPr>
          <w:rFonts w:ascii="Inter" w:hAnsi="Inter" w:cs="Arial"/>
        </w:rPr>
        <w:t xml:space="preserve">is also funded from the Adult Education budget and </w:t>
      </w:r>
      <w:r w:rsidR="005E4640" w:rsidRPr="2DFE4DF5">
        <w:rPr>
          <w:rFonts w:ascii="Inter" w:hAnsi="Inter" w:cs="Arial"/>
        </w:rPr>
        <w:t xml:space="preserve">offers a range of qualifications that </w:t>
      </w:r>
      <w:r w:rsidR="00751A56" w:rsidRPr="2DFE4DF5">
        <w:rPr>
          <w:rFonts w:ascii="Inter" w:hAnsi="Inter" w:cs="Arial"/>
        </w:rPr>
        <w:t>can help individuals gain skills and improve job prospects</w:t>
      </w:r>
      <w:r w:rsidR="00DB06B1" w:rsidRPr="2DFE4DF5">
        <w:rPr>
          <w:rFonts w:ascii="Inter" w:hAnsi="Inter" w:cs="Arial"/>
        </w:rPr>
        <w:t xml:space="preserve"> </w:t>
      </w:r>
      <w:r w:rsidR="0ED5C7D7" w:rsidRPr="2DFE4DF5">
        <w:rPr>
          <w:rFonts w:ascii="Inter" w:hAnsi="Inter" w:cs="Arial"/>
        </w:rPr>
        <w:t>F</w:t>
      </w:r>
      <w:r w:rsidR="00DB06B1" w:rsidRPr="2DFE4DF5">
        <w:rPr>
          <w:rFonts w:ascii="Inter" w:hAnsi="Inter" w:cs="Arial"/>
        </w:rPr>
        <w:t xml:space="preserve">unding </w:t>
      </w:r>
      <w:r w:rsidR="001879EF" w:rsidRPr="2DFE4DF5">
        <w:rPr>
          <w:rFonts w:ascii="Inter" w:hAnsi="Inter" w:cs="Arial"/>
        </w:rPr>
        <w:t>of £2.</w:t>
      </w:r>
      <w:r w:rsidR="00F26C90" w:rsidRPr="2DFE4DF5">
        <w:rPr>
          <w:rFonts w:ascii="Inter" w:hAnsi="Inter" w:cs="Arial"/>
        </w:rPr>
        <w:t>174</w:t>
      </w:r>
      <w:r w:rsidR="001879EF" w:rsidRPr="2DFE4DF5">
        <w:rPr>
          <w:rFonts w:ascii="Inter" w:hAnsi="Inter" w:cs="Arial"/>
        </w:rPr>
        <w:t>m is forecast for 2026/27.</w:t>
      </w:r>
    </w:p>
    <w:p w14:paraId="653C3215" w14:textId="77777777" w:rsidR="00F5161A" w:rsidRDefault="00F5161A" w:rsidP="00F5161A">
      <w:pPr>
        <w:pStyle w:val="ListParagraph"/>
        <w:spacing w:line="276" w:lineRule="auto"/>
        <w:ind w:right="140"/>
        <w:rPr>
          <w:rFonts w:ascii="Inter" w:hAnsi="Inter" w:cs="Arial"/>
        </w:rPr>
      </w:pPr>
    </w:p>
    <w:p w14:paraId="2DFD8FEF" w14:textId="63B62081" w:rsidR="00CD2B7C" w:rsidRPr="00CD2B7C" w:rsidRDefault="00CD2B7C" w:rsidP="00AD4EE9">
      <w:pPr>
        <w:pStyle w:val="ListParagraph"/>
        <w:numPr>
          <w:ilvl w:val="1"/>
          <w:numId w:val="14"/>
        </w:numPr>
        <w:spacing w:line="276" w:lineRule="auto"/>
        <w:ind w:right="140"/>
        <w:rPr>
          <w:rFonts w:ascii="Inter" w:hAnsi="Inter" w:cs="Arial"/>
        </w:rPr>
      </w:pPr>
      <w:r w:rsidRPr="00CD2B7C">
        <w:rPr>
          <w:rFonts w:ascii="Inter" w:hAnsi="Inter" w:cs="Arial"/>
        </w:rPr>
        <w:t>The CEC Central Hub aims to enhance careers education for young people by working directly with schools, colleges, apprenticeship providers, and employers. A budget of £</w:t>
      </w:r>
      <w:r w:rsidR="00651372">
        <w:rPr>
          <w:rFonts w:ascii="Inter" w:hAnsi="Inter" w:cs="Arial"/>
        </w:rPr>
        <w:t>0.</w:t>
      </w:r>
      <w:r w:rsidRPr="00CD2B7C">
        <w:rPr>
          <w:rFonts w:ascii="Inter" w:hAnsi="Inter" w:cs="Arial"/>
        </w:rPr>
        <w:t>293</w:t>
      </w:r>
      <w:r w:rsidR="00651372">
        <w:rPr>
          <w:rFonts w:ascii="Inter" w:hAnsi="Inter" w:cs="Arial"/>
        </w:rPr>
        <w:t>m</w:t>
      </w:r>
      <w:r w:rsidRPr="00CD2B7C">
        <w:rPr>
          <w:rFonts w:ascii="Inter" w:hAnsi="Inter" w:cs="Arial"/>
        </w:rPr>
        <w:t xml:space="preserve"> has been allocated for 2026/27 to support staffing costs.</w:t>
      </w:r>
    </w:p>
    <w:p w14:paraId="7A563DA7" w14:textId="7695B419" w:rsidR="7B32B003" w:rsidRDefault="7B32B003" w:rsidP="7B32B003">
      <w:pPr>
        <w:pStyle w:val="ListParagraph"/>
        <w:spacing w:line="276" w:lineRule="auto"/>
        <w:ind w:left="1800" w:right="140"/>
        <w:rPr>
          <w:rFonts w:ascii="Inter" w:hAnsi="Inter" w:cs="Arial"/>
        </w:rPr>
      </w:pPr>
    </w:p>
    <w:p w14:paraId="0AA057F1" w14:textId="6CDED8EA" w:rsidR="001879EF" w:rsidRDefault="5597CF00" w:rsidP="00AD4EE9">
      <w:pPr>
        <w:pStyle w:val="ListParagraph"/>
        <w:numPr>
          <w:ilvl w:val="1"/>
          <w:numId w:val="14"/>
        </w:numPr>
        <w:spacing w:line="276" w:lineRule="auto"/>
        <w:ind w:right="140"/>
        <w:rPr>
          <w:rFonts w:ascii="Inter" w:hAnsi="Inter" w:cs="Arial"/>
        </w:rPr>
      </w:pPr>
      <w:r w:rsidRPr="2DFE4DF5">
        <w:rPr>
          <w:rFonts w:ascii="Inter" w:hAnsi="Inter" w:cs="Arial"/>
        </w:rPr>
        <w:lastRenderedPageBreak/>
        <w:t xml:space="preserve">The </w:t>
      </w:r>
      <w:r w:rsidR="00445EA6" w:rsidRPr="2DFE4DF5">
        <w:rPr>
          <w:rFonts w:ascii="Inter" w:hAnsi="Inter" w:cs="Arial"/>
        </w:rPr>
        <w:t xml:space="preserve">Youth Trail Blazer </w:t>
      </w:r>
      <w:r w:rsidR="00CF5D44" w:rsidRPr="2DFE4DF5">
        <w:rPr>
          <w:rFonts w:ascii="Inter" w:hAnsi="Inter" w:cs="Arial"/>
        </w:rPr>
        <w:t xml:space="preserve">initiative </w:t>
      </w:r>
      <w:r w:rsidR="00CD5DFB" w:rsidRPr="2DFE4DF5">
        <w:rPr>
          <w:rFonts w:ascii="Inter" w:hAnsi="Inter" w:cs="Arial"/>
        </w:rPr>
        <w:t>aims to reduce youth inactivity</w:t>
      </w:r>
      <w:r w:rsidR="00124B88" w:rsidRPr="2DFE4DF5">
        <w:rPr>
          <w:rFonts w:ascii="Inter" w:hAnsi="Inter" w:cs="Arial"/>
        </w:rPr>
        <w:t xml:space="preserve"> and unemployment</w:t>
      </w:r>
      <w:r w:rsidR="001F1033" w:rsidRPr="2DFE4DF5">
        <w:rPr>
          <w:rFonts w:ascii="Inter" w:hAnsi="Inter" w:cs="Arial"/>
        </w:rPr>
        <w:t xml:space="preserve"> by testing innovative ways to identify young people most at risk of falling out of education, employment or training and matching them up to local training or job opportunities</w:t>
      </w:r>
      <w:r w:rsidR="00554DF7">
        <w:rPr>
          <w:rFonts w:ascii="Inter" w:hAnsi="Inter" w:cs="Arial"/>
        </w:rPr>
        <w:t>. F</w:t>
      </w:r>
      <w:r w:rsidR="00200B74" w:rsidRPr="2DFE4DF5">
        <w:rPr>
          <w:rFonts w:ascii="Inter" w:hAnsi="Inter" w:cs="Arial"/>
        </w:rPr>
        <w:t>unding is forecast to be £4</w:t>
      </w:r>
      <w:r w:rsidR="00024E15" w:rsidRPr="2DFE4DF5">
        <w:rPr>
          <w:rFonts w:ascii="Inter" w:hAnsi="Inter" w:cs="Arial"/>
        </w:rPr>
        <w:t>.7</w:t>
      </w:r>
      <w:r w:rsidR="00C90A68" w:rsidRPr="2DFE4DF5">
        <w:rPr>
          <w:rFonts w:ascii="Inter" w:hAnsi="Inter" w:cs="Arial"/>
        </w:rPr>
        <w:t>69</w:t>
      </w:r>
      <w:r w:rsidR="00024E15" w:rsidRPr="2DFE4DF5">
        <w:rPr>
          <w:rFonts w:ascii="Inter" w:hAnsi="Inter" w:cs="Arial"/>
        </w:rPr>
        <w:t>m for 2026/27.</w:t>
      </w:r>
    </w:p>
    <w:p w14:paraId="0FD81A03" w14:textId="77777777" w:rsidR="00F5161A" w:rsidRDefault="00F5161A" w:rsidP="00F5161A">
      <w:pPr>
        <w:pStyle w:val="ListParagraph"/>
        <w:spacing w:line="276" w:lineRule="auto"/>
        <w:ind w:right="140"/>
        <w:rPr>
          <w:rFonts w:ascii="Inter" w:hAnsi="Inter" w:cs="Arial"/>
        </w:rPr>
      </w:pPr>
    </w:p>
    <w:p w14:paraId="3FED6741" w14:textId="5E20B35C" w:rsidR="00F5161A" w:rsidRPr="00F5161A" w:rsidRDefault="00FE798E" w:rsidP="00AD4EE9">
      <w:pPr>
        <w:pStyle w:val="ListParagraph"/>
        <w:numPr>
          <w:ilvl w:val="1"/>
          <w:numId w:val="14"/>
        </w:numPr>
        <w:spacing w:line="276" w:lineRule="auto"/>
        <w:ind w:right="140"/>
        <w:rPr>
          <w:rFonts w:ascii="Inter" w:hAnsi="Inter" w:cs="Arial"/>
        </w:rPr>
      </w:pPr>
      <w:r>
        <w:rPr>
          <w:rFonts w:ascii="Inter" w:hAnsi="Inter" w:cs="Arial"/>
        </w:rPr>
        <w:t>Connect to Work</w:t>
      </w:r>
      <w:r w:rsidR="001E1581">
        <w:rPr>
          <w:rFonts w:ascii="Inter" w:hAnsi="Inter" w:cs="Arial"/>
        </w:rPr>
        <w:t xml:space="preserve"> aims to assist </w:t>
      </w:r>
      <w:r w:rsidR="00F119D5">
        <w:rPr>
          <w:rFonts w:ascii="Inter" w:hAnsi="Inter" w:cs="Arial"/>
        </w:rPr>
        <w:t>individuals in finding and maintaining employment</w:t>
      </w:r>
      <w:r w:rsidR="00BF36B9">
        <w:rPr>
          <w:rFonts w:ascii="Inter" w:hAnsi="Inter" w:cs="Arial"/>
        </w:rPr>
        <w:t>. F</w:t>
      </w:r>
      <w:r w:rsidR="002D18FE">
        <w:rPr>
          <w:rFonts w:ascii="Inter" w:hAnsi="Inter" w:cs="Arial"/>
        </w:rPr>
        <w:t xml:space="preserve">unding is forecast </w:t>
      </w:r>
      <w:r w:rsidR="009D5537">
        <w:rPr>
          <w:rFonts w:ascii="Inter" w:hAnsi="Inter" w:cs="Arial"/>
        </w:rPr>
        <w:t>to be £4</w:t>
      </w:r>
      <w:r w:rsidR="00C90A68">
        <w:rPr>
          <w:rFonts w:ascii="Inter" w:hAnsi="Inter" w:cs="Arial"/>
        </w:rPr>
        <w:t>.000</w:t>
      </w:r>
      <w:r w:rsidR="009D5537">
        <w:rPr>
          <w:rFonts w:ascii="Inter" w:hAnsi="Inter" w:cs="Arial"/>
        </w:rPr>
        <w:t>m for 2026/27.</w:t>
      </w:r>
    </w:p>
    <w:p w14:paraId="45EA1326" w14:textId="77777777" w:rsidR="00F5161A" w:rsidRDefault="00F5161A" w:rsidP="00F5161A">
      <w:pPr>
        <w:pStyle w:val="ListParagraph"/>
        <w:spacing w:line="276" w:lineRule="auto"/>
        <w:ind w:right="140"/>
        <w:rPr>
          <w:rFonts w:ascii="Inter" w:hAnsi="Inter" w:cs="Arial"/>
        </w:rPr>
      </w:pPr>
    </w:p>
    <w:p w14:paraId="4BD4992D" w14:textId="60D961DE" w:rsidR="1F4F3E2E" w:rsidRDefault="1F4F3E2E" w:rsidP="2DFE4DF5">
      <w:pPr>
        <w:pStyle w:val="ListParagraph"/>
        <w:numPr>
          <w:ilvl w:val="0"/>
          <w:numId w:val="14"/>
        </w:numPr>
        <w:spacing w:line="276" w:lineRule="auto"/>
        <w:ind w:right="140"/>
        <w:rPr>
          <w:rFonts w:ascii="Inter" w:eastAsia="Inter" w:hAnsi="Inter" w:cs="Inter"/>
          <w:szCs w:val="22"/>
        </w:rPr>
      </w:pPr>
      <w:r w:rsidRPr="2DFE4DF5">
        <w:rPr>
          <w:rFonts w:ascii="Inter" w:eastAsia="Inter" w:hAnsi="Inter" w:cs="Inter"/>
          <w:szCs w:val="22"/>
        </w:rPr>
        <w:t>The Local Growth Fund has been introduced for 2026/27. TVCA have been allocated £33.5m (split between capital &amp; revenue) over the next 4 years to deliver on Local Growth Plan priorities. There will be a future report to Cabinet seeking approval to commit the Local Growth Fund</w:t>
      </w:r>
      <w:r w:rsidR="00B65C2C">
        <w:rPr>
          <w:rFonts w:ascii="Inter" w:eastAsia="Inter" w:hAnsi="Inter" w:cs="Inter"/>
          <w:szCs w:val="22"/>
        </w:rPr>
        <w:t>.</w:t>
      </w:r>
    </w:p>
    <w:p w14:paraId="549D42AD" w14:textId="77777777" w:rsidR="00934434" w:rsidRPr="00B65C2C" w:rsidRDefault="00934434" w:rsidP="00B65C2C">
      <w:pPr>
        <w:rPr>
          <w:rFonts w:ascii="Inter" w:hAnsi="Inter" w:cs="Arial"/>
        </w:rPr>
      </w:pPr>
    </w:p>
    <w:p w14:paraId="10EC4EF2" w14:textId="50669A01" w:rsidR="00934434" w:rsidRPr="009A28CF" w:rsidRDefault="00D736C1" w:rsidP="00AD4EE9">
      <w:pPr>
        <w:pStyle w:val="ListParagraph"/>
        <w:numPr>
          <w:ilvl w:val="0"/>
          <w:numId w:val="14"/>
        </w:numPr>
        <w:spacing w:line="276" w:lineRule="auto"/>
        <w:ind w:right="140"/>
        <w:rPr>
          <w:rFonts w:ascii="Inter" w:hAnsi="Inter" w:cs="Arial"/>
        </w:rPr>
      </w:pPr>
      <w:r>
        <w:rPr>
          <w:rFonts w:ascii="Inter" w:hAnsi="Inter" w:cs="Arial"/>
        </w:rPr>
        <w:t xml:space="preserve">Engine Room </w:t>
      </w:r>
      <w:r w:rsidR="005C00D9">
        <w:rPr>
          <w:rFonts w:ascii="Inter" w:hAnsi="Inter" w:cs="Arial"/>
        </w:rPr>
        <w:t xml:space="preserve">grant has been successfully applied for from the Arts Council and </w:t>
      </w:r>
      <w:r w:rsidR="004D6025">
        <w:rPr>
          <w:rFonts w:ascii="Inter" w:hAnsi="Inter" w:cs="Arial"/>
        </w:rPr>
        <w:t>£</w:t>
      </w:r>
      <w:r w:rsidR="00D23B9F">
        <w:rPr>
          <w:rFonts w:ascii="Inter" w:hAnsi="Inter" w:cs="Arial"/>
        </w:rPr>
        <w:t>0.390</w:t>
      </w:r>
      <w:r w:rsidR="00AB287C">
        <w:rPr>
          <w:rFonts w:ascii="Inter" w:hAnsi="Inter" w:cs="Arial"/>
        </w:rPr>
        <w:t xml:space="preserve">m is </w:t>
      </w:r>
      <w:r w:rsidR="001E79C0">
        <w:rPr>
          <w:rFonts w:ascii="Inter" w:hAnsi="Inter" w:cs="Arial"/>
        </w:rPr>
        <w:t>included in the budget for 2026/27.</w:t>
      </w:r>
    </w:p>
    <w:p w14:paraId="5F231564" w14:textId="77777777" w:rsidR="00DF3901" w:rsidRPr="00DF3901" w:rsidRDefault="00DF3901" w:rsidP="00DF3901">
      <w:pPr>
        <w:pStyle w:val="ListParagraph"/>
        <w:rPr>
          <w:rFonts w:ascii="Inter" w:hAnsi="Inter" w:cs="Arial"/>
        </w:rPr>
      </w:pPr>
    </w:p>
    <w:p w14:paraId="03C00F52" w14:textId="4A5DCEAE" w:rsidR="00DF3901" w:rsidRPr="003E5544" w:rsidRDefault="00DF3901" w:rsidP="00AD4EE9">
      <w:pPr>
        <w:pStyle w:val="ListParagraph"/>
        <w:numPr>
          <w:ilvl w:val="0"/>
          <w:numId w:val="14"/>
        </w:numPr>
        <w:spacing w:line="276" w:lineRule="auto"/>
        <w:ind w:right="140"/>
        <w:rPr>
          <w:rFonts w:ascii="Inter" w:hAnsi="Inter" w:cs="Arial"/>
        </w:rPr>
      </w:pPr>
      <w:r w:rsidRPr="2DFE4DF5">
        <w:rPr>
          <w:rFonts w:ascii="Inter" w:hAnsi="Inter" w:cs="Arial"/>
        </w:rPr>
        <w:t xml:space="preserve">Investment </w:t>
      </w:r>
      <w:r w:rsidR="38BC117A" w:rsidRPr="2DFE4DF5">
        <w:rPr>
          <w:rFonts w:ascii="Inter" w:eastAsia="Inter" w:hAnsi="Inter" w:cs="Inter"/>
          <w:szCs w:val="22"/>
        </w:rPr>
        <w:t>Zone funding is to support the digital and creative sectors</w:t>
      </w:r>
      <w:r w:rsidRPr="2DFE4DF5">
        <w:rPr>
          <w:rFonts w:ascii="Inter" w:hAnsi="Inter" w:cs="Arial"/>
        </w:rPr>
        <w:t xml:space="preserve"> and funding of £8.220m has been confirmed for 2026/27.</w:t>
      </w:r>
    </w:p>
    <w:p w14:paraId="43E9104C" w14:textId="77777777" w:rsidR="00DF3901" w:rsidRPr="009A28CF" w:rsidRDefault="00DF3901" w:rsidP="00DF3901">
      <w:pPr>
        <w:pStyle w:val="ListParagraph"/>
        <w:spacing w:line="276" w:lineRule="auto"/>
        <w:ind w:left="1080" w:right="140"/>
        <w:rPr>
          <w:rFonts w:ascii="Inter" w:hAnsi="Inter" w:cs="Arial"/>
        </w:rPr>
      </w:pPr>
    </w:p>
    <w:p w14:paraId="37BB17F4" w14:textId="77777777" w:rsidR="00820C13" w:rsidRPr="00820C13" w:rsidRDefault="00820C13" w:rsidP="00820C13">
      <w:pPr>
        <w:pStyle w:val="ListParagraph"/>
        <w:rPr>
          <w:rFonts w:ascii="Inter" w:hAnsi="Inter" w:cs="Arial"/>
        </w:rPr>
      </w:pPr>
    </w:p>
    <w:p w14:paraId="7542FF32" w14:textId="11DC2A6E" w:rsidR="002B0C60" w:rsidRPr="00F329DE" w:rsidRDefault="002B0C60" w:rsidP="2DFE4DF5">
      <w:pPr>
        <w:pStyle w:val="ListParagraph"/>
        <w:spacing w:line="276" w:lineRule="auto"/>
        <w:ind w:left="360" w:right="140"/>
        <w:rPr>
          <w:b/>
          <w:bCs/>
        </w:rPr>
      </w:pPr>
      <w:r w:rsidRPr="2DFE4DF5">
        <w:rPr>
          <w:b/>
          <w:bCs/>
        </w:rPr>
        <w:t>Transport Grant Funding</w:t>
      </w:r>
    </w:p>
    <w:p w14:paraId="18E6EFF9" w14:textId="7586A643" w:rsidR="007B78A1" w:rsidRDefault="007B78A1" w:rsidP="00AD4EE9">
      <w:pPr>
        <w:pStyle w:val="ListParagraph"/>
        <w:numPr>
          <w:ilvl w:val="0"/>
          <w:numId w:val="14"/>
        </w:numPr>
        <w:spacing w:line="276" w:lineRule="auto"/>
        <w:ind w:right="140"/>
        <w:rPr>
          <w:rFonts w:ascii="Inter" w:hAnsi="Inter" w:cs="Arial"/>
        </w:rPr>
      </w:pPr>
      <w:r w:rsidRPr="2DFE4DF5">
        <w:rPr>
          <w:rFonts w:ascii="Inter" w:hAnsi="Inter" w:cs="Arial"/>
        </w:rPr>
        <w:t>Local Transport Authority grant funding</w:t>
      </w:r>
      <w:r w:rsidR="004A23D9" w:rsidRPr="2DFE4DF5">
        <w:rPr>
          <w:rFonts w:ascii="Inter" w:hAnsi="Inter" w:cs="Arial"/>
        </w:rPr>
        <w:t xml:space="preserve"> to </w:t>
      </w:r>
      <w:r w:rsidR="00A67097" w:rsidRPr="2DFE4DF5">
        <w:rPr>
          <w:rFonts w:ascii="Inter" w:hAnsi="Inter" w:cs="Arial"/>
        </w:rPr>
        <w:t>enhance bus services across England</w:t>
      </w:r>
      <w:r w:rsidR="00740B54">
        <w:rPr>
          <w:rFonts w:ascii="Inter" w:hAnsi="Inter" w:cs="Arial"/>
        </w:rPr>
        <w:t xml:space="preserve">. </w:t>
      </w:r>
      <w:r w:rsidR="003E5544" w:rsidRPr="2DFE4DF5">
        <w:rPr>
          <w:rFonts w:ascii="Inter" w:hAnsi="Inter" w:cs="Arial"/>
        </w:rPr>
        <w:t>£8</w:t>
      </w:r>
      <w:r w:rsidR="3F5A5C78" w:rsidRPr="2DFE4DF5">
        <w:rPr>
          <w:rFonts w:ascii="Inter" w:hAnsi="Inter" w:cs="Arial"/>
        </w:rPr>
        <w:t>.</w:t>
      </w:r>
      <w:r w:rsidR="003E5544" w:rsidRPr="2DFE4DF5">
        <w:rPr>
          <w:rFonts w:ascii="Inter" w:hAnsi="Inter" w:cs="Arial"/>
        </w:rPr>
        <w:t>662m has been confirmed for 2026</w:t>
      </w:r>
      <w:r w:rsidR="7AA94BDF" w:rsidRPr="2DFE4DF5">
        <w:rPr>
          <w:rFonts w:ascii="Inter" w:hAnsi="Inter" w:cs="Arial"/>
        </w:rPr>
        <w:t>/</w:t>
      </w:r>
      <w:r w:rsidR="003E5544" w:rsidRPr="2DFE4DF5">
        <w:rPr>
          <w:rFonts w:ascii="Inter" w:hAnsi="Inter" w:cs="Arial"/>
        </w:rPr>
        <w:t>27.</w:t>
      </w:r>
    </w:p>
    <w:p w14:paraId="73266B67" w14:textId="77777777" w:rsidR="003E5544" w:rsidRDefault="003E5544" w:rsidP="003E5544">
      <w:pPr>
        <w:pStyle w:val="ListParagraph"/>
        <w:spacing w:line="276" w:lineRule="auto"/>
        <w:ind w:right="140"/>
        <w:rPr>
          <w:rFonts w:ascii="Inter" w:hAnsi="Inter" w:cs="Arial"/>
        </w:rPr>
      </w:pPr>
    </w:p>
    <w:p w14:paraId="02AB587A" w14:textId="7D8483DB" w:rsidR="3DF94885" w:rsidRDefault="3DF94885" w:rsidP="2DFE4DF5">
      <w:pPr>
        <w:pStyle w:val="ListParagraph"/>
        <w:numPr>
          <w:ilvl w:val="0"/>
          <w:numId w:val="14"/>
        </w:numPr>
        <w:spacing w:line="276" w:lineRule="auto"/>
        <w:ind w:right="140"/>
      </w:pPr>
      <w:r w:rsidRPr="2DFE4DF5">
        <w:rPr>
          <w:rFonts w:ascii="Inter" w:eastAsia="Inter" w:hAnsi="Inter" w:cs="Inter"/>
          <w:szCs w:val="22"/>
        </w:rPr>
        <w:t>CRSTS (City Region Sustainable Transport Settlement) programme provides mainly capital funding to enhance transport networks. The current programme runs from 2022/23 to 2026/27. £8.510m revenue grant funding has been confirmed for 2026/27 to support delivery of the capital programme</w:t>
      </w:r>
      <w:r w:rsidR="00F41D7A">
        <w:rPr>
          <w:rFonts w:ascii="Inter" w:eastAsia="Inter" w:hAnsi="Inter" w:cs="Inter"/>
          <w:szCs w:val="22"/>
        </w:rPr>
        <w:t>.</w:t>
      </w:r>
    </w:p>
    <w:p w14:paraId="3AD31D3E" w14:textId="77777777" w:rsidR="006912F4" w:rsidRDefault="006912F4" w:rsidP="006912F4">
      <w:pPr>
        <w:pStyle w:val="ListParagraph"/>
        <w:spacing w:line="276" w:lineRule="auto"/>
        <w:ind w:right="140"/>
        <w:rPr>
          <w:rFonts w:ascii="Inter" w:hAnsi="Inter" w:cs="Arial"/>
        </w:rPr>
      </w:pPr>
    </w:p>
    <w:p w14:paraId="1E7F1AE8" w14:textId="3108C63E" w:rsidR="006912F4" w:rsidRPr="006912F4" w:rsidRDefault="003F3647" w:rsidP="00AD4EE9">
      <w:pPr>
        <w:pStyle w:val="ListParagraph"/>
        <w:numPr>
          <w:ilvl w:val="0"/>
          <w:numId w:val="14"/>
        </w:numPr>
        <w:spacing w:line="276" w:lineRule="auto"/>
        <w:ind w:right="140"/>
        <w:rPr>
          <w:rFonts w:ascii="Inter" w:hAnsi="Inter" w:cs="Arial"/>
        </w:rPr>
      </w:pPr>
      <w:r w:rsidRPr="2DFE4DF5">
        <w:rPr>
          <w:rFonts w:ascii="Inter" w:hAnsi="Inter" w:cs="Arial"/>
        </w:rPr>
        <w:t>TCR (Transport for City Regions</w:t>
      </w:r>
      <w:r w:rsidR="00973E8D" w:rsidRPr="2DFE4DF5">
        <w:rPr>
          <w:rFonts w:ascii="Inter" w:hAnsi="Inter" w:cs="Arial"/>
        </w:rPr>
        <w:t>)</w:t>
      </w:r>
      <w:r w:rsidR="00BB34FC" w:rsidRPr="2DFE4DF5">
        <w:rPr>
          <w:rFonts w:ascii="Inter" w:hAnsi="Inter" w:cs="Arial"/>
        </w:rPr>
        <w:t xml:space="preserve"> replaces the CRSTS funding going </w:t>
      </w:r>
      <w:r w:rsidR="00B65C2C" w:rsidRPr="2DFE4DF5">
        <w:rPr>
          <w:rFonts w:ascii="Inter" w:hAnsi="Inter" w:cs="Arial"/>
        </w:rPr>
        <w:t>forward.</w:t>
      </w:r>
      <w:r w:rsidR="00A96049" w:rsidRPr="2DFE4DF5">
        <w:rPr>
          <w:rFonts w:ascii="Inter" w:hAnsi="Inter" w:cs="Arial"/>
        </w:rPr>
        <w:t xml:space="preserve"> </w:t>
      </w:r>
      <w:r w:rsidR="00777123" w:rsidRPr="2DFE4DF5">
        <w:rPr>
          <w:rFonts w:ascii="Inter" w:hAnsi="Inter" w:cs="Arial"/>
        </w:rPr>
        <w:t>£2.</w:t>
      </w:r>
      <w:r w:rsidR="00BC299D" w:rsidRPr="2DFE4DF5">
        <w:rPr>
          <w:rFonts w:ascii="Inter" w:hAnsi="Inter" w:cs="Arial"/>
        </w:rPr>
        <w:t>896</w:t>
      </w:r>
      <w:r w:rsidR="00777123" w:rsidRPr="2DFE4DF5">
        <w:rPr>
          <w:rFonts w:ascii="Inter" w:hAnsi="Inter" w:cs="Arial"/>
        </w:rPr>
        <w:t>m revenue grant funding has been confirmed for 2026/27.</w:t>
      </w:r>
    </w:p>
    <w:p w14:paraId="695289D8" w14:textId="77777777" w:rsidR="006912F4" w:rsidRDefault="006912F4" w:rsidP="006912F4">
      <w:pPr>
        <w:pStyle w:val="ListParagraph"/>
        <w:spacing w:line="276" w:lineRule="auto"/>
        <w:ind w:right="140"/>
        <w:rPr>
          <w:rFonts w:ascii="Inter" w:hAnsi="Inter" w:cs="Arial"/>
        </w:rPr>
      </w:pPr>
    </w:p>
    <w:p w14:paraId="3827CA58" w14:textId="54027E6D" w:rsidR="00777123" w:rsidRDefault="00C25A02" w:rsidP="00AD4EE9">
      <w:pPr>
        <w:pStyle w:val="ListParagraph"/>
        <w:numPr>
          <w:ilvl w:val="0"/>
          <w:numId w:val="14"/>
        </w:numPr>
        <w:spacing w:line="276" w:lineRule="auto"/>
        <w:ind w:right="140"/>
        <w:rPr>
          <w:rFonts w:ascii="Inter" w:hAnsi="Inter" w:cs="Arial"/>
        </w:rPr>
      </w:pPr>
      <w:r>
        <w:rPr>
          <w:rFonts w:ascii="Inter" w:hAnsi="Inter" w:cs="Arial"/>
        </w:rPr>
        <w:t>A</w:t>
      </w:r>
      <w:r w:rsidR="00840F89">
        <w:rPr>
          <w:rFonts w:ascii="Inter" w:hAnsi="Inter" w:cs="Arial"/>
        </w:rPr>
        <w:t xml:space="preserve">ctive Travel </w:t>
      </w:r>
      <w:r w:rsidR="00491C59">
        <w:rPr>
          <w:rFonts w:ascii="Inter" w:hAnsi="Inter" w:cs="Arial"/>
        </w:rPr>
        <w:t>funding of £</w:t>
      </w:r>
      <w:r w:rsidR="00127AEC">
        <w:rPr>
          <w:rFonts w:ascii="Inter" w:hAnsi="Inter" w:cs="Arial"/>
        </w:rPr>
        <w:t>0.</w:t>
      </w:r>
      <w:r w:rsidR="00491C59">
        <w:rPr>
          <w:rFonts w:ascii="Inter" w:hAnsi="Inter" w:cs="Arial"/>
        </w:rPr>
        <w:t>26</w:t>
      </w:r>
      <w:r w:rsidR="00127AEC">
        <w:rPr>
          <w:rFonts w:ascii="Inter" w:hAnsi="Inter" w:cs="Arial"/>
        </w:rPr>
        <w:t>6m</w:t>
      </w:r>
      <w:r w:rsidR="00491C59">
        <w:rPr>
          <w:rFonts w:ascii="Inter" w:hAnsi="Inter" w:cs="Arial"/>
        </w:rPr>
        <w:t xml:space="preserve"> </w:t>
      </w:r>
      <w:r w:rsidR="0076561E">
        <w:rPr>
          <w:rFonts w:ascii="Inter" w:hAnsi="Inter" w:cs="Arial"/>
        </w:rPr>
        <w:t>has been confirmed</w:t>
      </w:r>
      <w:r w:rsidR="007F0F72">
        <w:rPr>
          <w:rFonts w:ascii="Inter" w:hAnsi="Inter" w:cs="Arial"/>
        </w:rPr>
        <w:t xml:space="preserve"> to</w:t>
      </w:r>
      <w:r w:rsidR="006811ED">
        <w:rPr>
          <w:rFonts w:ascii="Inter" w:hAnsi="Inter" w:cs="Arial"/>
        </w:rPr>
        <w:t xml:space="preserve"> enable and promote increased levels of </w:t>
      </w:r>
      <w:r w:rsidR="0064064C">
        <w:rPr>
          <w:rFonts w:ascii="Inter" w:hAnsi="Inter" w:cs="Arial"/>
        </w:rPr>
        <w:t xml:space="preserve">walking, </w:t>
      </w:r>
      <w:r w:rsidR="00684B67">
        <w:rPr>
          <w:rFonts w:ascii="Inter" w:hAnsi="Inter" w:cs="Arial"/>
        </w:rPr>
        <w:t xml:space="preserve">wheeling and </w:t>
      </w:r>
      <w:r w:rsidR="0064064C">
        <w:rPr>
          <w:rFonts w:ascii="Inter" w:hAnsi="Inter" w:cs="Arial"/>
        </w:rPr>
        <w:t>cycling</w:t>
      </w:r>
      <w:r w:rsidR="00684B67">
        <w:rPr>
          <w:rFonts w:ascii="Inter" w:hAnsi="Inter" w:cs="Arial"/>
        </w:rPr>
        <w:t>.</w:t>
      </w:r>
    </w:p>
    <w:p w14:paraId="32288CF4" w14:textId="77777777" w:rsidR="00D64077" w:rsidRDefault="00D64077" w:rsidP="00D64077">
      <w:pPr>
        <w:spacing w:line="276" w:lineRule="auto"/>
        <w:ind w:right="140"/>
        <w:rPr>
          <w:rFonts w:ascii="Inter" w:hAnsi="Inter" w:cs="Arial"/>
        </w:rPr>
      </w:pPr>
    </w:p>
    <w:p w14:paraId="14E12FD2" w14:textId="6F4026C7" w:rsidR="00D64077" w:rsidRPr="00D64077" w:rsidRDefault="54E2A03F" w:rsidP="2DFE4DF5">
      <w:pPr>
        <w:pStyle w:val="ListParagraph"/>
        <w:numPr>
          <w:ilvl w:val="0"/>
          <w:numId w:val="3"/>
        </w:numPr>
        <w:spacing w:line="276" w:lineRule="auto"/>
        <w:ind w:right="140"/>
        <w:rPr>
          <w:rFonts w:ascii="Inter" w:hAnsi="Inter" w:cs="Arial"/>
        </w:rPr>
      </w:pPr>
      <w:r w:rsidRPr="2DFE4DF5">
        <w:rPr>
          <w:rFonts w:ascii="Inter" w:eastAsia="Inter" w:hAnsi="Inter" w:cs="Inter"/>
          <w:szCs w:val="22"/>
        </w:rPr>
        <w:t>The provisional settlement indicates that £0.456m of funding will be received to address Homelessness, Rough Sleeping and Domestic Abuse across 2026 – 29.  However, funding has not yet been confirmed</w:t>
      </w:r>
      <w:r w:rsidR="002E6D30" w:rsidRPr="2DFE4DF5">
        <w:rPr>
          <w:rFonts w:ascii="Inter" w:hAnsi="Inter" w:cs="Arial"/>
        </w:rPr>
        <w:t>.</w:t>
      </w:r>
    </w:p>
    <w:p w14:paraId="2FC60776" w14:textId="77777777" w:rsidR="009D1486" w:rsidRDefault="009D1486" w:rsidP="00A55302">
      <w:pPr>
        <w:spacing w:line="276" w:lineRule="auto"/>
        <w:ind w:right="140"/>
        <w:rPr>
          <w:rFonts w:ascii="Inter" w:hAnsi="Inter" w:cs="Arial"/>
          <w:b/>
          <w:bCs/>
        </w:rPr>
      </w:pPr>
    </w:p>
    <w:p w14:paraId="2EBB1805" w14:textId="77777777" w:rsidR="00F329DE" w:rsidRDefault="00F329DE" w:rsidP="00A55302">
      <w:pPr>
        <w:spacing w:line="276" w:lineRule="auto"/>
        <w:ind w:right="140"/>
        <w:rPr>
          <w:rFonts w:ascii="Inter" w:hAnsi="Inter" w:cs="Arial"/>
          <w:b/>
          <w:bCs/>
        </w:rPr>
      </w:pPr>
    </w:p>
    <w:p w14:paraId="035A56FE" w14:textId="2ED05416" w:rsidR="00A55302" w:rsidRPr="00A55302" w:rsidRDefault="59DBC299" w:rsidP="00A55302">
      <w:pPr>
        <w:spacing w:line="276" w:lineRule="auto"/>
        <w:ind w:right="140"/>
        <w:rPr>
          <w:rFonts w:ascii="Inter" w:hAnsi="Inter" w:cs="Arial"/>
        </w:rPr>
      </w:pPr>
      <w:r w:rsidRPr="00A55302">
        <w:rPr>
          <w:rFonts w:ascii="Inter" w:hAnsi="Inter" w:cs="Arial"/>
          <w:b/>
          <w:bCs/>
        </w:rPr>
        <w:t>SLA Group Charges</w:t>
      </w:r>
    </w:p>
    <w:p w14:paraId="398FB1CD" w14:textId="53F52871" w:rsidR="59DBC299" w:rsidRPr="009D7A02" w:rsidRDefault="7E5961DA" w:rsidP="2DFE4DF5">
      <w:pPr>
        <w:pStyle w:val="ListParagraph"/>
        <w:numPr>
          <w:ilvl w:val="0"/>
          <w:numId w:val="3"/>
        </w:numPr>
        <w:spacing w:line="276" w:lineRule="auto"/>
        <w:rPr>
          <w:rFonts w:ascii="Inter" w:eastAsia="Inter" w:hAnsi="Inter" w:cs="Inter"/>
          <w:szCs w:val="22"/>
        </w:rPr>
      </w:pPr>
      <w:r w:rsidRPr="2DFE4DF5">
        <w:rPr>
          <w:rFonts w:ascii="Inter" w:eastAsia="Inter" w:hAnsi="Inter" w:cs="Inter"/>
          <w:szCs w:val="22"/>
        </w:rPr>
        <w:t>The draft budget proposals for 2026/27 include estimates of amounts of support service recharges to group entities: Teesside International Airport Limited (TIAL), South Tees Development Corporation (STDC), Hartlepool Development Corporation (HDC) and Middlesbrough Development Corporation (MDC).</w:t>
      </w:r>
    </w:p>
    <w:p w14:paraId="31C17D91" w14:textId="4AD1499B" w:rsidR="16FD5590" w:rsidRPr="009D7A02" w:rsidRDefault="16FD5590" w:rsidP="00BE2502">
      <w:pPr>
        <w:pStyle w:val="ListParagraph"/>
        <w:spacing w:line="276" w:lineRule="auto"/>
        <w:ind w:left="567" w:hanging="567"/>
        <w:rPr>
          <w:rFonts w:ascii="Inter" w:hAnsi="Inter" w:cs="Arial"/>
        </w:rPr>
      </w:pPr>
    </w:p>
    <w:p w14:paraId="4F538CEC" w14:textId="3FD92FC9" w:rsidR="21514542" w:rsidRPr="009D7A02" w:rsidRDefault="21514542" w:rsidP="2DFE4DF5">
      <w:pPr>
        <w:pStyle w:val="ListParagraph"/>
        <w:numPr>
          <w:ilvl w:val="0"/>
          <w:numId w:val="3"/>
        </w:numPr>
        <w:spacing w:line="276" w:lineRule="auto"/>
        <w:ind w:left="567" w:hanging="567"/>
        <w:rPr>
          <w:rFonts w:ascii="Inter" w:hAnsi="Inter" w:cs="Arial"/>
        </w:rPr>
      </w:pPr>
      <w:r w:rsidRPr="2DFE4DF5">
        <w:rPr>
          <w:rFonts w:ascii="Inter" w:hAnsi="Inter" w:cs="Arial"/>
        </w:rPr>
        <w:t xml:space="preserve">The LGA is supporting the Authority to review its current service level agreements with group entities and the charges incurred.  Furthermore, the Chief Executive of STDC and the Managing Director will be </w:t>
      </w:r>
      <w:r w:rsidR="506B24EF" w:rsidRPr="2DFE4DF5">
        <w:rPr>
          <w:rFonts w:ascii="Inter" w:hAnsi="Inter" w:cs="Arial"/>
        </w:rPr>
        <w:t>reviewing their own support service structures and those supplied by the Authority to determine what services they wish to be provided in the new financial year.</w:t>
      </w:r>
      <w:r w:rsidR="1682D967" w:rsidRPr="2DFE4DF5">
        <w:rPr>
          <w:rFonts w:ascii="Inter" w:hAnsi="Inter" w:cs="Arial"/>
        </w:rPr>
        <w:t xml:space="preserve">  </w:t>
      </w:r>
      <w:r w:rsidR="438580A5" w:rsidRPr="2DFE4DF5">
        <w:rPr>
          <w:rFonts w:ascii="Inter" w:hAnsi="Inter" w:cs="Arial"/>
        </w:rPr>
        <w:t>The estimates included within the draft budget proposals total £</w:t>
      </w:r>
      <w:r w:rsidR="006B5861" w:rsidRPr="2DFE4DF5">
        <w:rPr>
          <w:rFonts w:ascii="Inter" w:hAnsi="Inter" w:cs="Arial"/>
        </w:rPr>
        <w:t>2.058</w:t>
      </w:r>
      <w:r w:rsidR="438580A5" w:rsidRPr="2DFE4DF5">
        <w:rPr>
          <w:rFonts w:ascii="Inter" w:hAnsi="Inter" w:cs="Arial"/>
        </w:rPr>
        <w:t>m</w:t>
      </w:r>
      <w:r w:rsidR="59791109" w:rsidRPr="2DFE4DF5">
        <w:rPr>
          <w:rFonts w:ascii="Inter" w:hAnsi="Inter" w:cs="Arial"/>
        </w:rPr>
        <w:t xml:space="preserve"> but there is a risk that this will reduce for the final budget.</w:t>
      </w:r>
    </w:p>
    <w:p w14:paraId="118CC3CA" w14:textId="77777777" w:rsidR="00D06EAE" w:rsidRDefault="00D06EAE" w:rsidP="00A55302">
      <w:pPr>
        <w:pStyle w:val="ListParagraph"/>
        <w:spacing w:line="276" w:lineRule="auto"/>
        <w:ind w:left="567" w:hanging="567"/>
        <w:rPr>
          <w:rFonts w:ascii="Inter" w:hAnsi="Inter" w:cs="Arial"/>
        </w:rPr>
      </w:pPr>
    </w:p>
    <w:p w14:paraId="0A63B726" w14:textId="77777777" w:rsidR="00036D41" w:rsidRPr="00036D41" w:rsidRDefault="00036D41" w:rsidP="00036D41">
      <w:pPr>
        <w:pStyle w:val="ListParagraph"/>
        <w:spacing w:line="276" w:lineRule="auto"/>
        <w:ind w:left="567" w:hanging="567"/>
        <w:rPr>
          <w:rFonts w:ascii="Inter" w:hAnsi="Inter" w:cs="Arial"/>
        </w:rPr>
      </w:pPr>
      <w:r w:rsidRPr="00036D41">
        <w:rPr>
          <w:rFonts w:ascii="Inter" w:hAnsi="Inter" w:cs="Arial"/>
          <w:b/>
          <w:bCs/>
        </w:rPr>
        <w:t>Capital Recharge</w:t>
      </w:r>
    </w:p>
    <w:p w14:paraId="2E75D6B1" w14:textId="584F8FB7" w:rsidR="00036D41" w:rsidRPr="00036D41" w:rsidRDefault="00036D41" w:rsidP="00A85915">
      <w:pPr>
        <w:pStyle w:val="ListParagraph"/>
        <w:numPr>
          <w:ilvl w:val="0"/>
          <w:numId w:val="3"/>
        </w:numPr>
        <w:spacing w:line="276" w:lineRule="auto"/>
        <w:rPr>
          <w:rFonts w:ascii="Inter" w:hAnsi="Inter" w:cs="Arial"/>
        </w:rPr>
      </w:pPr>
      <w:r w:rsidRPr="00036D41">
        <w:rPr>
          <w:rFonts w:ascii="Inter" w:hAnsi="Inter" w:cs="Arial"/>
        </w:rPr>
        <w:t>In the 2026/27 budget, £</w:t>
      </w:r>
      <w:r w:rsidR="00B47191">
        <w:rPr>
          <w:rFonts w:ascii="Inter" w:hAnsi="Inter" w:cs="Arial"/>
        </w:rPr>
        <w:t>2.431</w:t>
      </w:r>
      <w:r w:rsidRPr="00036D41">
        <w:rPr>
          <w:rFonts w:ascii="Inter" w:hAnsi="Inter" w:cs="Arial"/>
        </w:rPr>
        <w:t>m of TVCA core staffing and overheads costs has been charged to capital projects which is an increase of £</w:t>
      </w:r>
      <w:r w:rsidR="0009047C">
        <w:rPr>
          <w:rFonts w:ascii="Inter" w:hAnsi="Inter" w:cs="Arial"/>
        </w:rPr>
        <w:t>1.080</w:t>
      </w:r>
      <w:r w:rsidRPr="00036D41">
        <w:rPr>
          <w:rFonts w:ascii="Inter" w:hAnsi="Inter" w:cs="Arial"/>
        </w:rPr>
        <w:t>m from 2025/26 and the MTFP currently assumes that this level of charge to capital projects will continue over the MTFP period based on</w:t>
      </w:r>
      <w:r w:rsidR="0009047C">
        <w:rPr>
          <w:rFonts w:ascii="Inter" w:hAnsi="Inter" w:cs="Arial"/>
        </w:rPr>
        <w:t xml:space="preserve"> the confirmed continuance of the TCR (</w:t>
      </w:r>
      <w:r w:rsidR="00DB4BEE">
        <w:rPr>
          <w:rFonts w:ascii="Inter" w:hAnsi="Inter" w:cs="Arial"/>
        </w:rPr>
        <w:t xml:space="preserve">Transport City Region) and </w:t>
      </w:r>
      <w:r w:rsidR="004169A9">
        <w:rPr>
          <w:rFonts w:ascii="Inter" w:hAnsi="Inter" w:cs="Arial"/>
        </w:rPr>
        <w:t>SHDF (Warm Homes Social Decarbonisation) funding.</w:t>
      </w:r>
      <w:r w:rsidRPr="00036D41">
        <w:rPr>
          <w:rFonts w:ascii="Inter" w:hAnsi="Inter" w:cs="Arial"/>
        </w:rPr>
        <w:t>  In future financial years, should there be any change to the amount to be recharged to capital, this will increase costs for the TVCA Combined Authority Revenue Budget.</w:t>
      </w:r>
    </w:p>
    <w:p w14:paraId="42D441B7" w14:textId="77777777" w:rsidR="0064193E" w:rsidRDefault="0064193E" w:rsidP="00A55302">
      <w:pPr>
        <w:pStyle w:val="ListParagraph"/>
        <w:spacing w:line="276" w:lineRule="auto"/>
        <w:ind w:left="567" w:hanging="567"/>
        <w:rPr>
          <w:rFonts w:ascii="Inter" w:hAnsi="Inter" w:cs="Arial"/>
        </w:rPr>
      </w:pPr>
    </w:p>
    <w:p w14:paraId="1C2D7035" w14:textId="77777777" w:rsidR="0064193E" w:rsidRPr="009D7A02" w:rsidRDefault="0064193E" w:rsidP="00A55302">
      <w:pPr>
        <w:pStyle w:val="ListParagraph"/>
        <w:spacing w:line="276" w:lineRule="auto"/>
        <w:ind w:left="567" w:hanging="567"/>
        <w:rPr>
          <w:rFonts w:ascii="Inter" w:hAnsi="Inter" w:cs="Arial"/>
        </w:rPr>
      </w:pPr>
    </w:p>
    <w:p w14:paraId="462B3031" w14:textId="2899F9E5" w:rsidR="00A55302" w:rsidRPr="007B326E" w:rsidRDefault="5B7317D7" w:rsidP="00A55302">
      <w:pPr>
        <w:spacing w:line="276" w:lineRule="auto"/>
        <w:rPr>
          <w:rFonts w:ascii="Inter" w:hAnsi="Inter" w:cs="Arial"/>
          <w:b/>
          <w:bCs/>
        </w:rPr>
      </w:pPr>
      <w:r w:rsidRPr="007B326E">
        <w:rPr>
          <w:rFonts w:ascii="Inter" w:hAnsi="Inter" w:cs="Arial"/>
          <w:b/>
          <w:bCs/>
        </w:rPr>
        <w:t>Revenue budget changes from 2025/26 to 2026/27</w:t>
      </w:r>
    </w:p>
    <w:p w14:paraId="48C79269" w14:textId="34B4569F" w:rsidR="00E96A91" w:rsidRPr="007B326E" w:rsidRDefault="00D06EAE" w:rsidP="2DFE4DF5">
      <w:pPr>
        <w:pStyle w:val="ListParagraph"/>
        <w:numPr>
          <w:ilvl w:val="0"/>
          <w:numId w:val="3"/>
        </w:numPr>
        <w:spacing w:line="276" w:lineRule="auto"/>
        <w:ind w:left="567" w:hanging="567"/>
        <w:rPr>
          <w:rFonts w:ascii="Inter" w:hAnsi="Inter" w:cs="Arial"/>
        </w:rPr>
      </w:pPr>
      <w:r w:rsidRPr="007B326E">
        <w:rPr>
          <w:rFonts w:ascii="Inter" w:hAnsi="Inter" w:cs="Arial"/>
        </w:rPr>
        <w:t>The draft budget for 2026/27</w:t>
      </w:r>
      <w:r w:rsidR="45B2499D" w:rsidRPr="007B326E">
        <w:rPr>
          <w:rFonts w:ascii="Inter" w:hAnsi="Inter" w:cs="Arial"/>
        </w:rPr>
        <w:t>,</w:t>
      </w:r>
      <w:r w:rsidRPr="007B326E">
        <w:rPr>
          <w:rFonts w:ascii="Inter" w:hAnsi="Inter" w:cs="Arial"/>
        </w:rPr>
        <w:t xml:space="preserve"> </w:t>
      </w:r>
      <w:r w:rsidR="0CE913B2" w:rsidRPr="007B326E">
        <w:rPr>
          <w:rFonts w:ascii="Inter" w:hAnsi="Inter" w:cs="Arial"/>
        </w:rPr>
        <w:t xml:space="preserve">together with the changes from </w:t>
      </w:r>
      <w:r w:rsidR="6FA3F5E5" w:rsidRPr="007B326E">
        <w:rPr>
          <w:rFonts w:ascii="Inter" w:hAnsi="Inter" w:cs="Arial"/>
        </w:rPr>
        <w:t xml:space="preserve">the </w:t>
      </w:r>
      <w:r w:rsidR="0CE913B2" w:rsidRPr="007B326E">
        <w:rPr>
          <w:rFonts w:ascii="Inter" w:hAnsi="Inter" w:cs="Arial"/>
        </w:rPr>
        <w:t>2025/26 base budget</w:t>
      </w:r>
      <w:r w:rsidR="53455B06" w:rsidRPr="007B326E">
        <w:rPr>
          <w:rFonts w:ascii="Inter" w:hAnsi="Inter" w:cs="Arial"/>
        </w:rPr>
        <w:t>,</w:t>
      </w:r>
      <w:r w:rsidR="0CE913B2" w:rsidRPr="007B326E">
        <w:rPr>
          <w:rFonts w:ascii="Inter" w:hAnsi="Inter" w:cs="Arial"/>
        </w:rPr>
        <w:t xml:space="preserve"> </w:t>
      </w:r>
      <w:r w:rsidR="12AE64F0" w:rsidRPr="007B326E">
        <w:rPr>
          <w:rFonts w:ascii="Inter" w:hAnsi="Inter" w:cs="Arial"/>
        </w:rPr>
        <w:t>are</w:t>
      </w:r>
      <w:r w:rsidR="568E7BBD" w:rsidRPr="007B326E">
        <w:rPr>
          <w:rFonts w:ascii="Inter" w:hAnsi="Inter" w:cs="Arial"/>
        </w:rPr>
        <w:t xml:space="preserve"> </w:t>
      </w:r>
      <w:r w:rsidRPr="007B326E">
        <w:rPr>
          <w:rFonts w:ascii="Inter" w:hAnsi="Inter" w:cs="Arial"/>
        </w:rPr>
        <w:t>set out in the table below together with detailed explanations on the budget movements.</w:t>
      </w:r>
    </w:p>
    <w:p w14:paraId="2BF4721D" w14:textId="2A50E300" w:rsidR="008B021B" w:rsidRDefault="008B021B">
      <w:pPr>
        <w:rPr>
          <w:rFonts w:ascii="Inter" w:hAnsi="Inter" w:cs="Arial"/>
          <w:b/>
          <w:bCs/>
        </w:rPr>
      </w:pPr>
    </w:p>
    <w:p w14:paraId="21BE4E52" w14:textId="77777777" w:rsidR="005E2DF8" w:rsidRDefault="005E2DF8">
      <w:pPr>
        <w:rPr>
          <w:rFonts w:ascii="Inter" w:hAnsi="Inter" w:cs="Arial"/>
          <w:b/>
          <w:bCs/>
        </w:rPr>
      </w:pPr>
      <w:r>
        <w:rPr>
          <w:rFonts w:ascii="Inter" w:hAnsi="Inter" w:cs="Arial"/>
          <w:b/>
          <w:bCs/>
        </w:rPr>
        <w:br w:type="page"/>
      </w:r>
    </w:p>
    <w:p w14:paraId="5DB1C7D0" w14:textId="4F8E50CB" w:rsidR="00D06EAE" w:rsidRPr="009D7A02" w:rsidRDefault="00D06EAE" w:rsidP="16FD5590">
      <w:pPr>
        <w:spacing w:line="276" w:lineRule="auto"/>
        <w:ind w:left="567"/>
        <w:jc w:val="center"/>
        <w:rPr>
          <w:rFonts w:ascii="Inter" w:hAnsi="Inter" w:cs="Arial"/>
          <w:b/>
          <w:bCs/>
        </w:rPr>
      </w:pPr>
      <w:r w:rsidRPr="009D7A02">
        <w:rPr>
          <w:rFonts w:ascii="Inter" w:hAnsi="Inter" w:cs="Arial"/>
          <w:b/>
          <w:bCs/>
        </w:rPr>
        <w:lastRenderedPageBreak/>
        <w:t xml:space="preserve">Table </w:t>
      </w:r>
      <w:r w:rsidR="00FF5FAC">
        <w:rPr>
          <w:rFonts w:ascii="Inter" w:hAnsi="Inter" w:cs="Arial"/>
          <w:b/>
          <w:bCs/>
        </w:rPr>
        <w:t>7</w:t>
      </w:r>
      <w:r w:rsidRPr="009D7A02">
        <w:rPr>
          <w:rFonts w:ascii="Inter" w:hAnsi="Inter" w:cs="Arial"/>
          <w:b/>
          <w:bCs/>
        </w:rPr>
        <w:t>: Draft Combined Authority Revenue Budget 2026/27</w:t>
      </w:r>
    </w:p>
    <w:p w14:paraId="0CA00EDE" w14:textId="738FEF14" w:rsidR="2712E15D" w:rsidRDefault="2712E15D" w:rsidP="2712E15D">
      <w:pPr>
        <w:spacing w:line="276" w:lineRule="auto"/>
        <w:ind w:left="567"/>
        <w:jc w:val="center"/>
        <w:rPr>
          <w:rFonts w:ascii="Inter" w:hAnsi="Inter" w:cs="Arial"/>
          <w:b/>
          <w:bCs/>
        </w:rPr>
      </w:pPr>
    </w:p>
    <w:tbl>
      <w:tblPr>
        <w:tblW w:w="9356" w:type="dxa"/>
        <w:tblInd w:w="-299" w:type="dxa"/>
        <w:tblLayout w:type="fixed"/>
        <w:tblLook w:val="04A0" w:firstRow="1" w:lastRow="0" w:firstColumn="1" w:lastColumn="0" w:noHBand="0" w:noVBand="1"/>
      </w:tblPr>
      <w:tblGrid>
        <w:gridCol w:w="4537"/>
        <w:gridCol w:w="1559"/>
        <w:gridCol w:w="1559"/>
        <w:gridCol w:w="1701"/>
      </w:tblGrid>
      <w:tr w:rsidR="007A4BDB" w:rsidRPr="00C670CB" w14:paraId="0063D71C" w14:textId="77777777" w:rsidTr="00C775B6">
        <w:trPr>
          <w:trHeight w:val="798"/>
        </w:trPr>
        <w:tc>
          <w:tcPr>
            <w:tcW w:w="4537" w:type="dxa"/>
            <w:tcBorders>
              <w:top w:val="single" w:sz="12" w:space="0" w:color="auto"/>
              <w:left w:val="single" w:sz="12" w:space="0" w:color="auto"/>
              <w:bottom w:val="nil"/>
              <w:right w:val="single" w:sz="12" w:space="0" w:color="auto"/>
            </w:tcBorders>
            <w:shd w:val="clear" w:color="auto" w:fill="E8E8E8"/>
            <w:noWrap/>
            <w:hideMark/>
          </w:tcPr>
          <w:p w14:paraId="650ADC68" w14:textId="77777777" w:rsidR="00C670CB" w:rsidRPr="00C670CB" w:rsidRDefault="00C670CB" w:rsidP="00FD7E02">
            <w:pPr>
              <w:jc w:val="cente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Directorates</w:t>
            </w:r>
          </w:p>
        </w:tc>
        <w:tc>
          <w:tcPr>
            <w:tcW w:w="1559" w:type="dxa"/>
            <w:tcBorders>
              <w:top w:val="single" w:sz="12" w:space="0" w:color="auto"/>
              <w:left w:val="nil"/>
              <w:bottom w:val="nil"/>
              <w:right w:val="single" w:sz="12" w:space="0" w:color="auto"/>
            </w:tcBorders>
            <w:shd w:val="clear" w:color="auto" w:fill="E8E8E8"/>
            <w:hideMark/>
          </w:tcPr>
          <w:p w14:paraId="6CB65F24" w14:textId="77777777" w:rsidR="00C670CB" w:rsidRPr="00C670CB" w:rsidRDefault="00C670CB" w:rsidP="00FD7E02">
            <w:pPr>
              <w:jc w:val="cente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Budget 2025/26</w:t>
            </w:r>
          </w:p>
        </w:tc>
        <w:tc>
          <w:tcPr>
            <w:tcW w:w="1559" w:type="dxa"/>
            <w:tcBorders>
              <w:top w:val="single" w:sz="12" w:space="0" w:color="auto"/>
              <w:left w:val="nil"/>
              <w:bottom w:val="nil"/>
              <w:right w:val="single" w:sz="12" w:space="0" w:color="auto"/>
            </w:tcBorders>
            <w:shd w:val="clear" w:color="auto" w:fill="E8E8E8"/>
            <w:hideMark/>
          </w:tcPr>
          <w:p w14:paraId="2B6CCE5B" w14:textId="77777777" w:rsidR="00C670CB" w:rsidRPr="00C670CB" w:rsidRDefault="00C670CB" w:rsidP="00FD7E02">
            <w:pPr>
              <w:jc w:val="cente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Budget changes</w:t>
            </w:r>
          </w:p>
        </w:tc>
        <w:tc>
          <w:tcPr>
            <w:tcW w:w="1701" w:type="dxa"/>
            <w:tcBorders>
              <w:top w:val="single" w:sz="12" w:space="0" w:color="auto"/>
              <w:left w:val="nil"/>
              <w:bottom w:val="nil"/>
              <w:right w:val="single" w:sz="12" w:space="0" w:color="auto"/>
            </w:tcBorders>
            <w:shd w:val="clear" w:color="auto" w:fill="E8E8E8"/>
            <w:hideMark/>
          </w:tcPr>
          <w:p w14:paraId="083550A7" w14:textId="77777777" w:rsidR="00C670CB" w:rsidRPr="00C670CB" w:rsidRDefault="00C670CB" w:rsidP="00FD7E02">
            <w:pPr>
              <w:jc w:val="cente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Budget 2026/27</w:t>
            </w:r>
          </w:p>
        </w:tc>
      </w:tr>
      <w:tr w:rsidR="007A4BDB" w:rsidRPr="00C670CB" w14:paraId="52B10493" w14:textId="77777777" w:rsidTr="00C775B6">
        <w:trPr>
          <w:trHeight w:val="281"/>
        </w:trPr>
        <w:tc>
          <w:tcPr>
            <w:tcW w:w="4537" w:type="dxa"/>
            <w:tcBorders>
              <w:top w:val="nil"/>
              <w:left w:val="single" w:sz="12" w:space="0" w:color="auto"/>
              <w:bottom w:val="single" w:sz="12" w:space="0" w:color="auto"/>
              <w:right w:val="single" w:sz="12" w:space="0" w:color="auto"/>
            </w:tcBorders>
            <w:shd w:val="clear" w:color="auto" w:fill="E8E8E8"/>
            <w:noWrap/>
            <w:hideMark/>
          </w:tcPr>
          <w:p w14:paraId="114008BE" w14:textId="38FF975A" w:rsidR="00C670CB" w:rsidRPr="00C670CB" w:rsidRDefault="00C670CB" w:rsidP="00FD7E02">
            <w:pPr>
              <w:jc w:val="center"/>
              <w:rPr>
                <w:rFonts w:eastAsia="Times New Roman" w:cs="Times New Roman"/>
                <w:b/>
                <w:bCs/>
                <w:color w:val="000000"/>
                <w:kern w:val="0"/>
                <w:sz w:val="20"/>
                <w:szCs w:val="20"/>
                <w:lang w:eastAsia="en-GB"/>
                <w14:ligatures w14:val="none"/>
              </w:rPr>
            </w:pPr>
          </w:p>
        </w:tc>
        <w:tc>
          <w:tcPr>
            <w:tcW w:w="1559" w:type="dxa"/>
            <w:tcBorders>
              <w:top w:val="nil"/>
              <w:left w:val="nil"/>
              <w:bottom w:val="single" w:sz="12" w:space="0" w:color="auto"/>
              <w:right w:val="single" w:sz="12" w:space="0" w:color="auto"/>
            </w:tcBorders>
            <w:shd w:val="clear" w:color="auto" w:fill="E8E8E8"/>
            <w:noWrap/>
            <w:hideMark/>
          </w:tcPr>
          <w:p w14:paraId="609C2402" w14:textId="77777777" w:rsidR="00C670CB" w:rsidRPr="00C670CB" w:rsidRDefault="00C670CB" w:rsidP="00FD7E02">
            <w:pPr>
              <w:jc w:val="cente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£'000</w:t>
            </w:r>
          </w:p>
        </w:tc>
        <w:tc>
          <w:tcPr>
            <w:tcW w:w="1559" w:type="dxa"/>
            <w:tcBorders>
              <w:top w:val="nil"/>
              <w:left w:val="nil"/>
              <w:bottom w:val="single" w:sz="12" w:space="0" w:color="auto"/>
              <w:right w:val="single" w:sz="12" w:space="0" w:color="auto"/>
            </w:tcBorders>
            <w:shd w:val="clear" w:color="auto" w:fill="E8E8E8"/>
            <w:noWrap/>
            <w:hideMark/>
          </w:tcPr>
          <w:p w14:paraId="611E57C4" w14:textId="77777777" w:rsidR="00C670CB" w:rsidRPr="00C670CB" w:rsidRDefault="00C670CB" w:rsidP="00FD7E02">
            <w:pPr>
              <w:jc w:val="cente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£'000</w:t>
            </w:r>
          </w:p>
        </w:tc>
        <w:tc>
          <w:tcPr>
            <w:tcW w:w="1701" w:type="dxa"/>
            <w:tcBorders>
              <w:top w:val="nil"/>
              <w:left w:val="nil"/>
              <w:bottom w:val="single" w:sz="12" w:space="0" w:color="auto"/>
              <w:right w:val="single" w:sz="12" w:space="0" w:color="auto"/>
            </w:tcBorders>
            <w:shd w:val="clear" w:color="auto" w:fill="E8E8E8"/>
            <w:noWrap/>
            <w:hideMark/>
          </w:tcPr>
          <w:p w14:paraId="6419F3F6" w14:textId="77777777" w:rsidR="00C670CB" w:rsidRPr="00C670CB" w:rsidRDefault="00C670CB" w:rsidP="00FD7E02">
            <w:pPr>
              <w:jc w:val="cente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£'000</w:t>
            </w:r>
          </w:p>
        </w:tc>
      </w:tr>
      <w:tr w:rsidR="00D86B2E" w:rsidRPr="00C670CB" w14:paraId="096D42E7" w14:textId="77777777">
        <w:trPr>
          <w:trHeight w:val="28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6C095DEE" w14:textId="2BF3C38E"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Mayor’s Office</w:t>
            </w:r>
          </w:p>
        </w:tc>
        <w:tc>
          <w:tcPr>
            <w:tcW w:w="1559" w:type="dxa"/>
            <w:tcBorders>
              <w:top w:val="nil"/>
              <w:left w:val="nil"/>
              <w:bottom w:val="single" w:sz="4" w:space="0" w:color="auto"/>
              <w:right w:val="single" w:sz="4" w:space="0" w:color="auto"/>
            </w:tcBorders>
            <w:noWrap/>
            <w:vAlign w:val="center"/>
            <w:hideMark/>
          </w:tcPr>
          <w:p w14:paraId="3E656E32" w14:textId="6CF5AAA9"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(1,228)</w:t>
            </w:r>
          </w:p>
        </w:tc>
        <w:tc>
          <w:tcPr>
            <w:tcW w:w="1559" w:type="dxa"/>
            <w:tcBorders>
              <w:top w:val="nil"/>
              <w:left w:val="single" w:sz="12" w:space="0" w:color="auto"/>
              <w:bottom w:val="single" w:sz="4" w:space="0" w:color="auto"/>
              <w:right w:val="single" w:sz="4" w:space="0" w:color="auto"/>
            </w:tcBorders>
            <w:noWrap/>
            <w:vAlign w:val="center"/>
            <w:hideMark/>
          </w:tcPr>
          <w:p w14:paraId="54413C05" w14:textId="4CE4A66E"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1,695</w:t>
            </w:r>
          </w:p>
        </w:tc>
        <w:tc>
          <w:tcPr>
            <w:tcW w:w="1701" w:type="dxa"/>
            <w:tcBorders>
              <w:top w:val="nil"/>
              <w:left w:val="single" w:sz="12" w:space="0" w:color="auto"/>
              <w:bottom w:val="single" w:sz="4" w:space="0" w:color="auto"/>
              <w:right w:val="single" w:sz="12" w:space="0" w:color="auto"/>
            </w:tcBorders>
            <w:noWrap/>
            <w:vAlign w:val="center"/>
            <w:hideMark/>
          </w:tcPr>
          <w:p w14:paraId="65A86D12" w14:textId="0A478D2F"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466</w:t>
            </w:r>
          </w:p>
        </w:tc>
      </w:tr>
      <w:tr w:rsidR="00D86B2E" w:rsidRPr="00C670CB" w14:paraId="352BC4F2" w14:textId="77777777">
        <w:trPr>
          <w:trHeight w:val="281"/>
        </w:trPr>
        <w:tc>
          <w:tcPr>
            <w:tcW w:w="453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FAC58F5" w14:textId="77777777" w:rsidR="00D86B2E" w:rsidRPr="00C670CB" w:rsidRDefault="00D86B2E" w:rsidP="00D86B2E">
            <w:pP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Mayoral Costs</w:t>
            </w:r>
          </w:p>
        </w:tc>
        <w:tc>
          <w:tcPr>
            <w:tcW w:w="1559" w:type="dxa"/>
            <w:tcBorders>
              <w:top w:val="single" w:sz="12" w:space="0" w:color="auto"/>
              <w:left w:val="nil"/>
              <w:bottom w:val="single" w:sz="12" w:space="0" w:color="auto"/>
              <w:right w:val="single" w:sz="4" w:space="0" w:color="auto"/>
            </w:tcBorders>
            <w:shd w:val="clear" w:color="auto" w:fill="E8E8E8"/>
            <w:noWrap/>
            <w:vAlign w:val="center"/>
            <w:hideMark/>
          </w:tcPr>
          <w:p w14:paraId="51DD7BF4" w14:textId="75FFF35A" w:rsidR="00D86B2E" w:rsidRPr="00C670CB" w:rsidRDefault="00D86B2E" w:rsidP="00D86B2E">
            <w:pPr>
              <w:jc w:val="right"/>
              <w:rPr>
                <w:rFonts w:eastAsia="Times New Roman" w:cs="Times New Roman"/>
                <w:b/>
                <w:color w:val="000000"/>
                <w:kern w:val="0"/>
                <w:sz w:val="20"/>
                <w:szCs w:val="20"/>
                <w:lang w:eastAsia="en-GB"/>
                <w14:ligatures w14:val="none"/>
              </w:rPr>
            </w:pPr>
            <w:r>
              <w:rPr>
                <w:b/>
                <w:bCs/>
                <w:color w:val="000000"/>
                <w:sz w:val="20"/>
                <w:szCs w:val="20"/>
              </w:rPr>
              <w:t>(1,228)</w:t>
            </w:r>
          </w:p>
        </w:tc>
        <w:tc>
          <w:tcPr>
            <w:tcW w:w="1559"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38E92E63" w14:textId="2A26EAA4" w:rsidR="00D86B2E" w:rsidRPr="00C670CB" w:rsidRDefault="00D86B2E" w:rsidP="00D86B2E">
            <w:pPr>
              <w:jc w:val="right"/>
              <w:rPr>
                <w:rFonts w:eastAsia="Times New Roman" w:cs="Times New Roman"/>
                <w:b/>
                <w:color w:val="000000"/>
                <w:kern w:val="0"/>
                <w:sz w:val="20"/>
                <w:szCs w:val="20"/>
                <w:lang w:eastAsia="en-GB"/>
                <w14:ligatures w14:val="none"/>
              </w:rPr>
            </w:pPr>
            <w:r>
              <w:rPr>
                <w:b/>
                <w:bCs/>
                <w:color w:val="000000"/>
                <w:sz w:val="20"/>
                <w:szCs w:val="20"/>
              </w:rPr>
              <w:t>1,695</w:t>
            </w:r>
          </w:p>
        </w:tc>
        <w:tc>
          <w:tcPr>
            <w:tcW w:w="1701"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64A55146" w14:textId="1BD64220" w:rsidR="00D86B2E" w:rsidRPr="00C670CB" w:rsidRDefault="00D86B2E" w:rsidP="00D86B2E">
            <w:pPr>
              <w:jc w:val="right"/>
              <w:rPr>
                <w:rFonts w:eastAsia="Times New Roman" w:cs="Times New Roman"/>
                <w:b/>
                <w:color w:val="000000"/>
                <w:kern w:val="0"/>
                <w:sz w:val="20"/>
                <w:szCs w:val="20"/>
                <w:lang w:eastAsia="en-GB"/>
                <w14:ligatures w14:val="none"/>
              </w:rPr>
            </w:pPr>
            <w:r>
              <w:rPr>
                <w:b/>
                <w:bCs/>
                <w:color w:val="000000"/>
                <w:sz w:val="20"/>
                <w:szCs w:val="20"/>
              </w:rPr>
              <w:t>466</w:t>
            </w:r>
          </w:p>
        </w:tc>
      </w:tr>
      <w:tr w:rsidR="00D86B2E" w:rsidRPr="00C670CB" w14:paraId="0F0E82D3" w14:textId="77777777">
        <w:trPr>
          <w:trHeight w:val="27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6B2F3B92" w14:textId="70C6A5E0" w:rsidR="00D86B2E" w:rsidRPr="00C670CB" w:rsidRDefault="00D86B2E" w:rsidP="00D86B2E">
            <w:pPr>
              <w:rPr>
                <w:rFonts w:eastAsia="Times New Roman" w:cs="Times New Roman"/>
                <w:color w:val="000000"/>
                <w:kern w:val="0"/>
                <w:sz w:val="20"/>
                <w:szCs w:val="20"/>
                <w:lang w:eastAsia="en-GB"/>
                <w14:ligatures w14:val="none"/>
              </w:rPr>
            </w:pPr>
            <w:r>
              <w:rPr>
                <w:color w:val="000000"/>
                <w:sz w:val="20"/>
                <w:szCs w:val="20"/>
              </w:rPr>
              <w:t>Chief Executive</w:t>
            </w:r>
          </w:p>
        </w:tc>
        <w:tc>
          <w:tcPr>
            <w:tcW w:w="1559" w:type="dxa"/>
            <w:tcBorders>
              <w:top w:val="nil"/>
              <w:left w:val="nil"/>
              <w:bottom w:val="single" w:sz="4" w:space="0" w:color="auto"/>
              <w:right w:val="single" w:sz="4" w:space="0" w:color="auto"/>
            </w:tcBorders>
            <w:noWrap/>
            <w:vAlign w:val="center"/>
            <w:hideMark/>
          </w:tcPr>
          <w:p w14:paraId="0E0D5112" w14:textId="45BDD394"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731</w:t>
            </w:r>
          </w:p>
        </w:tc>
        <w:tc>
          <w:tcPr>
            <w:tcW w:w="1559" w:type="dxa"/>
            <w:tcBorders>
              <w:top w:val="nil"/>
              <w:left w:val="single" w:sz="12" w:space="0" w:color="auto"/>
              <w:bottom w:val="single" w:sz="4" w:space="0" w:color="auto"/>
              <w:right w:val="single" w:sz="4" w:space="0" w:color="auto"/>
            </w:tcBorders>
            <w:noWrap/>
            <w:vAlign w:val="center"/>
            <w:hideMark/>
          </w:tcPr>
          <w:p w14:paraId="2FEBCAED" w14:textId="67BBB9D0"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624</w:t>
            </w:r>
          </w:p>
        </w:tc>
        <w:tc>
          <w:tcPr>
            <w:tcW w:w="1701" w:type="dxa"/>
            <w:tcBorders>
              <w:top w:val="nil"/>
              <w:left w:val="single" w:sz="12" w:space="0" w:color="auto"/>
              <w:bottom w:val="single" w:sz="4" w:space="0" w:color="auto"/>
              <w:right w:val="single" w:sz="12" w:space="0" w:color="auto"/>
            </w:tcBorders>
            <w:noWrap/>
            <w:vAlign w:val="center"/>
            <w:hideMark/>
          </w:tcPr>
          <w:p w14:paraId="03D4A019" w14:textId="72B8ECE6"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1,355</w:t>
            </w:r>
          </w:p>
        </w:tc>
      </w:tr>
      <w:tr w:rsidR="00D86B2E" w:rsidRPr="00C670CB" w14:paraId="09C9C50B"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3ABDA4C8" w14:textId="17BCD26F" w:rsidR="00D86B2E" w:rsidRPr="00C670CB" w:rsidRDefault="00D86B2E" w:rsidP="00D86B2E">
            <w:pPr>
              <w:rPr>
                <w:rFonts w:eastAsia="Times New Roman" w:cs="Times New Roman"/>
                <w:color w:val="000000"/>
                <w:kern w:val="0"/>
                <w:sz w:val="20"/>
                <w:szCs w:val="20"/>
                <w:lang w:eastAsia="en-GB"/>
                <w14:ligatures w14:val="none"/>
              </w:rPr>
            </w:pPr>
            <w:r>
              <w:rPr>
                <w:color w:val="000000"/>
                <w:sz w:val="20"/>
                <w:szCs w:val="20"/>
              </w:rPr>
              <w:t>Legal and Governance</w:t>
            </w:r>
          </w:p>
        </w:tc>
        <w:tc>
          <w:tcPr>
            <w:tcW w:w="1559" w:type="dxa"/>
            <w:tcBorders>
              <w:top w:val="nil"/>
              <w:left w:val="nil"/>
              <w:bottom w:val="single" w:sz="4" w:space="0" w:color="auto"/>
              <w:right w:val="single" w:sz="4" w:space="0" w:color="auto"/>
            </w:tcBorders>
            <w:noWrap/>
            <w:vAlign w:val="center"/>
            <w:hideMark/>
          </w:tcPr>
          <w:p w14:paraId="1867551D" w14:textId="1832DF6F"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1,668</w:t>
            </w:r>
          </w:p>
        </w:tc>
        <w:tc>
          <w:tcPr>
            <w:tcW w:w="1559" w:type="dxa"/>
            <w:tcBorders>
              <w:top w:val="nil"/>
              <w:left w:val="single" w:sz="12" w:space="0" w:color="auto"/>
              <w:bottom w:val="single" w:sz="4" w:space="0" w:color="auto"/>
              <w:right w:val="single" w:sz="4" w:space="0" w:color="auto"/>
            </w:tcBorders>
            <w:noWrap/>
            <w:vAlign w:val="center"/>
            <w:hideMark/>
          </w:tcPr>
          <w:p w14:paraId="4F3905D0" w14:textId="74038847"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680</w:t>
            </w:r>
          </w:p>
        </w:tc>
        <w:tc>
          <w:tcPr>
            <w:tcW w:w="1701" w:type="dxa"/>
            <w:tcBorders>
              <w:top w:val="nil"/>
              <w:left w:val="single" w:sz="12" w:space="0" w:color="auto"/>
              <w:bottom w:val="single" w:sz="4" w:space="0" w:color="auto"/>
              <w:right w:val="single" w:sz="12" w:space="0" w:color="auto"/>
            </w:tcBorders>
            <w:noWrap/>
            <w:vAlign w:val="center"/>
            <w:hideMark/>
          </w:tcPr>
          <w:p w14:paraId="59A0D2F4" w14:textId="084DB728"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2,348</w:t>
            </w:r>
          </w:p>
        </w:tc>
      </w:tr>
      <w:tr w:rsidR="00D86B2E" w:rsidRPr="00C670CB" w14:paraId="74842132"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1C98E7C7" w14:textId="7CBB4089" w:rsidR="00D86B2E" w:rsidRPr="00C670CB" w:rsidRDefault="00D86B2E" w:rsidP="00D86B2E">
            <w:pPr>
              <w:rPr>
                <w:rFonts w:eastAsia="Times New Roman" w:cs="Times New Roman"/>
                <w:color w:val="000000"/>
                <w:kern w:val="0"/>
                <w:sz w:val="20"/>
                <w:szCs w:val="20"/>
                <w:lang w:eastAsia="en-GB"/>
                <w14:ligatures w14:val="none"/>
              </w:rPr>
            </w:pPr>
            <w:r>
              <w:rPr>
                <w:color w:val="000000"/>
                <w:sz w:val="20"/>
                <w:szCs w:val="20"/>
              </w:rPr>
              <w:t>Infrastructure</w:t>
            </w:r>
          </w:p>
        </w:tc>
        <w:tc>
          <w:tcPr>
            <w:tcW w:w="1559" w:type="dxa"/>
            <w:tcBorders>
              <w:top w:val="nil"/>
              <w:left w:val="nil"/>
              <w:bottom w:val="single" w:sz="4" w:space="0" w:color="auto"/>
              <w:right w:val="single" w:sz="4" w:space="0" w:color="auto"/>
            </w:tcBorders>
            <w:noWrap/>
            <w:vAlign w:val="center"/>
            <w:hideMark/>
          </w:tcPr>
          <w:p w14:paraId="31007A49" w14:textId="72AC71AE"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112</w:t>
            </w:r>
          </w:p>
        </w:tc>
        <w:tc>
          <w:tcPr>
            <w:tcW w:w="1559" w:type="dxa"/>
            <w:tcBorders>
              <w:top w:val="nil"/>
              <w:left w:val="single" w:sz="12" w:space="0" w:color="auto"/>
              <w:bottom w:val="single" w:sz="4" w:space="0" w:color="auto"/>
              <w:right w:val="single" w:sz="4" w:space="0" w:color="auto"/>
            </w:tcBorders>
            <w:noWrap/>
            <w:vAlign w:val="center"/>
            <w:hideMark/>
          </w:tcPr>
          <w:p w14:paraId="7A6016D0" w14:textId="49C43CDE"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1,175</w:t>
            </w:r>
          </w:p>
        </w:tc>
        <w:tc>
          <w:tcPr>
            <w:tcW w:w="1701" w:type="dxa"/>
            <w:tcBorders>
              <w:top w:val="nil"/>
              <w:left w:val="single" w:sz="12" w:space="0" w:color="auto"/>
              <w:bottom w:val="single" w:sz="4" w:space="0" w:color="auto"/>
              <w:right w:val="single" w:sz="12" w:space="0" w:color="auto"/>
            </w:tcBorders>
            <w:noWrap/>
            <w:vAlign w:val="center"/>
            <w:hideMark/>
          </w:tcPr>
          <w:p w14:paraId="535810AA" w14:textId="01B8D09F"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1,287</w:t>
            </w:r>
          </w:p>
        </w:tc>
      </w:tr>
      <w:tr w:rsidR="00D86B2E" w:rsidRPr="00C670CB" w14:paraId="4AA38920"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0BFA7A65" w14:textId="3090115D" w:rsidR="00D86B2E" w:rsidRPr="00C670CB" w:rsidRDefault="00D86B2E" w:rsidP="00D86B2E">
            <w:pPr>
              <w:rPr>
                <w:rFonts w:eastAsia="Times New Roman" w:cs="Times New Roman"/>
                <w:color w:val="000000"/>
                <w:kern w:val="0"/>
                <w:sz w:val="20"/>
                <w:szCs w:val="20"/>
                <w:lang w:eastAsia="en-GB"/>
                <w14:ligatures w14:val="none"/>
              </w:rPr>
            </w:pPr>
            <w:r>
              <w:rPr>
                <w:color w:val="000000"/>
                <w:sz w:val="20"/>
                <w:szCs w:val="20"/>
              </w:rPr>
              <w:t>Operations</w:t>
            </w:r>
          </w:p>
        </w:tc>
        <w:tc>
          <w:tcPr>
            <w:tcW w:w="1559" w:type="dxa"/>
            <w:tcBorders>
              <w:top w:val="nil"/>
              <w:left w:val="nil"/>
              <w:bottom w:val="single" w:sz="4" w:space="0" w:color="auto"/>
              <w:right w:val="single" w:sz="4" w:space="0" w:color="auto"/>
            </w:tcBorders>
            <w:noWrap/>
            <w:vAlign w:val="center"/>
            <w:hideMark/>
          </w:tcPr>
          <w:p w14:paraId="233638A7" w14:textId="5EE25A51"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1,592</w:t>
            </w:r>
          </w:p>
        </w:tc>
        <w:tc>
          <w:tcPr>
            <w:tcW w:w="1559" w:type="dxa"/>
            <w:tcBorders>
              <w:top w:val="nil"/>
              <w:left w:val="single" w:sz="12" w:space="0" w:color="auto"/>
              <w:bottom w:val="single" w:sz="4" w:space="0" w:color="auto"/>
              <w:right w:val="single" w:sz="4" w:space="0" w:color="auto"/>
            </w:tcBorders>
            <w:noWrap/>
            <w:vAlign w:val="center"/>
            <w:hideMark/>
          </w:tcPr>
          <w:p w14:paraId="72282ED7" w14:textId="5B89B112"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1,573</w:t>
            </w:r>
          </w:p>
        </w:tc>
        <w:tc>
          <w:tcPr>
            <w:tcW w:w="1701" w:type="dxa"/>
            <w:tcBorders>
              <w:top w:val="nil"/>
              <w:left w:val="single" w:sz="12" w:space="0" w:color="auto"/>
              <w:bottom w:val="single" w:sz="4" w:space="0" w:color="auto"/>
              <w:right w:val="single" w:sz="12" w:space="0" w:color="auto"/>
            </w:tcBorders>
            <w:noWrap/>
            <w:vAlign w:val="center"/>
            <w:hideMark/>
          </w:tcPr>
          <w:p w14:paraId="0A99D596" w14:textId="488732B3"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3,165</w:t>
            </w:r>
          </w:p>
        </w:tc>
      </w:tr>
      <w:tr w:rsidR="00D86B2E" w:rsidRPr="00C670CB" w14:paraId="177377CA"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7ED05BD9" w14:textId="062C0419" w:rsidR="00D86B2E" w:rsidRPr="00C670CB" w:rsidRDefault="00D86B2E" w:rsidP="00D86B2E">
            <w:pPr>
              <w:rPr>
                <w:rFonts w:eastAsia="Times New Roman" w:cs="Times New Roman"/>
                <w:color w:val="000000"/>
                <w:kern w:val="0"/>
                <w:sz w:val="20"/>
                <w:szCs w:val="20"/>
                <w:lang w:eastAsia="en-GB"/>
                <w14:ligatures w14:val="none"/>
              </w:rPr>
            </w:pPr>
            <w:r>
              <w:rPr>
                <w:color w:val="000000"/>
                <w:sz w:val="20"/>
                <w:szCs w:val="20"/>
              </w:rPr>
              <w:t>Finance and Resources</w:t>
            </w:r>
          </w:p>
        </w:tc>
        <w:tc>
          <w:tcPr>
            <w:tcW w:w="1559" w:type="dxa"/>
            <w:tcBorders>
              <w:top w:val="nil"/>
              <w:left w:val="nil"/>
              <w:bottom w:val="single" w:sz="4" w:space="0" w:color="auto"/>
              <w:right w:val="single" w:sz="4" w:space="0" w:color="auto"/>
            </w:tcBorders>
            <w:noWrap/>
            <w:vAlign w:val="center"/>
            <w:hideMark/>
          </w:tcPr>
          <w:p w14:paraId="1A60A220" w14:textId="551E53E1"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190</w:t>
            </w:r>
          </w:p>
        </w:tc>
        <w:tc>
          <w:tcPr>
            <w:tcW w:w="1559" w:type="dxa"/>
            <w:tcBorders>
              <w:top w:val="nil"/>
              <w:left w:val="single" w:sz="12" w:space="0" w:color="auto"/>
              <w:bottom w:val="single" w:sz="4" w:space="0" w:color="auto"/>
              <w:right w:val="single" w:sz="4" w:space="0" w:color="auto"/>
            </w:tcBorders>
            <w:noWrap/>
            <w:vAlign w:val="center"/>
            <w:hideMark/>
          </w:tcPr>
          <w:p w14:paraId="083856B5" w14:textId="25232093"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44</w:t>
            </w:r>
          </w:p>
        </w:tc>
        <w:tc>
          <w:tcPr>
            <w:tcW w:w="1701" w:type="dxa"/>
            <w:tcBorders>
              <w:top w:val="nil"/>
              <w:left w:val="single" w:sz="12" w:space="0" w:color="auto"/>
              <w:bottom w:val="single" w:sz="4" w:space="0" w:color="auto"/>
              <w:right w:val="single" w:sz="12" w:space="0" w:color="auto"/>
            </w:tcBorders>
            <w:noWrap/>
            <w:vAlign w:val="center"/>
            <w:hideMark/>
          </w:tcPr>
          <w:p w14:paraId="74631041" w14:textId="054F1052"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234</w:t>
            </w:r>
          </w:p>
        </w:tc>
      </w:tr>
      <w:tr w:rsidR="00D86B2E" w:rsidRPr="00C670CB" w14:paraId="45B9BC5E" w14:textId="77777777">
        <w:trPr>
          <w:trHeight w:val="27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43C742B2" w14:textId="665690D2" w:rsidR="00D86B2E" w:rsidRPr="00C670CB" w:rsidRDefault="00D86B2E" w:rsidP="00D86B2E">
            <w:pPr>
              <w:rPr>
                <w:rFonts w:eastAsia="Times New Roman" w:cs="Times New Roman"/>
                <w:color w:val="000000"/>
                <w:kern w:val="0"/>
                <w:sz w:val="20"/>
                <w:szCs w:val="20"/>
                <w:lang w:eastAsia="en-GB"/>
                <w14:ligatures w14:val="none"/>
              </w:rPr>
            </w:pPr>
            <w:r>
              <w:rPr>
                <w:color w:val="000000"/>
                <w:sz w:val="20"/>
                <w:szCs w:val="20"/>
              </w:rPr>
              <w:t>Business Solutions</w:t>
            </w:r>
          </w:p>
        </w:tc>
        <w:tc>
          <w:tcPr>
            <w:tcW w:w="1559" w:type="dxa"/>
            <w:tcBorders>
              <w:top w:val="nil"/>
              <w:left w:val="nil"/>
              <w:bottom w:val="single" w:sz="4" w:space="0" w:color="auto"/>
              <w:right w:val="single" w:sz="4" w:space="0" w:color="auto"/>
            </w:tcBorders>
            <w:noWrap/>
            <w:vAlign w:val="center"/>
            <w:hideMark/>
          </w:tcPr>
          <w:p w14:paraId="4E5676FD" w14:textId="2C43F98A"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11,006</w:t>
            </w:r>
          </w:p>
        </w:tc>
        <w:tc>
          <w:tcPr>
            <w:tcW w:w="1559" w:type="dxa"/>
            <w:tcBorders>
              <w:top w:val="nil"/>
              <w:left w:val="single" w:sz="12" w:space="0" w:color="auto"/>
              <w:bottom w:val="single" w:sz="4" w:space="0" w:color="auto"/>
              <w:right w:val="single" w:sz="4" w:space="0" w:color="auto"/>
            </w:tcBorders>
            <w:noWrap/>
            <w:vAlign w:val="center"/>
            <w:hideMark/>
          </w:tcPr>
          <w:p w14:paraId="661F96F5" w14:textId="46C8F46E"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(7,996)</w:t>
            </w:r>
          </w:p>
        </w:tc>
        <w:tc>
          <w:tcPr>
            <w:tcW w:w="1701" w:type="dxa"/>
            <w:tcBorders>
              <w:top w:val="nil"/>
              <w:left w:val="single" w:sz="12" w:space="0" w:color="auto"/>
              <w:bottom w:val="single" w:sz="4" w:space="0" w:color="auto"/>
              <w:right w:val="single" w:sz="12" w:space="0" w:color="auto"/>
            </w:tcBorders>
            <w:noWrap/>
            <w:vAlign w:val="center"/>
            <w:hideMark/>
          </w:tcPr>
          <w:p w14:paraId="64EF270B" w14:textId="5456A887"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3,010</w:t>
            </w:r>
          </w:p>
        </w:tc>
      </w:tr>
      <w:tr w:rsidR="00D86B2E" w:rsidRPr="00C670CB" w14:paraId="665AA960" w14:textId="77777777">
        <w:trPr>
          <w:trHeight w:val="28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017C4728" w14:textId="331DD8A9" w:rsidR="00D86B2E" w:rsidRPr="00C670CB" w:rsidRDefault="00D86B2E" w:rsidP="00D86B2E">
            <w:pPr>
              <w:rPr>
                <w:rFonts w:eastAsia="Times New Roman" w:cs="Times New Roman"/>
                <w:color w:val="000000"/>
                <w:kern w:val="0"/>
                <w:sz w:val="20"/>
                <w:szCs w:val="20"/>
                <w:lang w:eastAsia="en-GB"/>
                <w14:ligatures w14:val="none"/>
              </w:rPr>
            </w:pPr>
            <w:r>
              <w:rPr>
                <w:color w:val="000000"/>
                <w:sz w:val="20"/>
                <w:szCs w:val="20"/>
              </w:rPr>
              <w:t>Inward Investment and Marketing</w:t>
            </w:r>
          </w:p>
        </w:tc>
        <w:tc>
          <w:tcPr>
            <w:tcW w:w="1559" w:type="dxa"/>
            <w:tcBorders>
              <w:top w:val="nil"/>
              <w:left w:val="nil"/>
              <w:bottom w:val="single" w:sz="4" w:space="0" w:color="auto"/>
              <w:right w:val="single" w:sz="4" w:space="0" w:color="auto"/>
            </w:tcBorders>
            <w:noWrap/>
            <w:vAlign w:val="center"/>
            <w:hideMark/>
          </w:tcPr>
          <w:p w14:paraId="17C27751" w14:textId="3DCD4D6D"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1,479</w:t>
            </w:r>
          </w:p>
        </w:tc>
        <w:tc>
          <w:tcPr>
            <w:tcW w:w="1559" w:type="dxa"/>
            <w:tcBorders>
              <w:top w:val="nil"/>
              <w:left w:val="single" w:sz="12" w:space="0" w:color="auto"/>
              <w:bottom w:val="single" w:sz="4" w:space="0" w:color="auto"/>
              <w:right w:val="single" w:sz="4" w:space="0" w:color="auto"/>
            </w:tcBorders>
            <w:noWrap/>
            <w:vAlign w:val="center"/>
            <w:hideMark/>
          </w:tcPr>
          <w:p w14:paraId="1A68113B" w14:textId="082013C3"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(103)</w:t>
            </w:r>
          </w:p>
        </w:tc>
        <w:tc>
          <w:tcPr>
            <w:tcW w:w="1701" w:type="dxa"/>
            <w:tcBorders>
              <w:top w:val="nil"/>
              <w:left w:val="single" w:sz="12" w:space="0" w:color="auto"/>
              <w:bottom w:val="single" w:sz="4" w:space="0" w:color="auto"/>
              <w:right w:val="single" w:sz="12" w:space="0" w:color="auto"/>
            </w:tcBorders>
            <w:noWrap/>
            <w:vAlign w:val="center"/>
            <w:hideMark/>
          </w:tcPr>
          <w:p w14:paraId="2569C942" w14:textId="2B994FF9"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1,375</w:t>
            </w:r>
          </w:p>
        </w:tc>
      </w:tr>
      <w:tr w:rsidR="00D86B2E" w:rsidRPr="00C670CB" w14:paraId="28EA8C5D" w14:textId="77777777">
        <w:trPr>
          <w:trHeight w:val="27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5B5227A3" w14:textId="264AB655" w:rsidR="00D86B2E" w:rsidRPr="00C670CB" w:rsidRDefault="00D86B2E" w:rsidP="00D86B2E">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Support Services Recharged to Grant Delivery</w:t>
            </w:r>
          </w:p>
        </w:tc>
        <w:tc>
          <w:tcPr>
            <w:tcW w:w="1559" w:type="dxa"/>
            <w:tcBorders>
              <w:top w:val="nil"/>
              <w:left w:val="nil"/>
              <w:bottom w:val="single" w:sz="4" w:space="0" w:color="auto"/>
              <w:right w:val="single" w:sz="4" w:space="0" w:color="auto"/>
            </w:tcBorders>
            <w:noWrap/>
            <w:vAlign w:val="center"/>
            <w:hideMark/>
          </w:tcPr>
          <w:p w14:paraId="79C78635" w14:textId="49708798"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w:t>
            </w:r>
          </w:p>
        </w:tc>
        <w:tc>
          <w:tcPr>
            <w:tcW w:w="1559" w:type="dxa"/>
            <w:tcBorders>
              <w:top w:val="nil"/>
              <w:left w:val="single" w:sz="12" w:space="0" w:color="auto"/>
              <w:bottom w:val="single" w:sz="4" w:space="0" w:color="auto"/>
              <w:right w:val="single" w:sz="4" w:space="0" w:color="auto"/>
            </w:tcBorders>
            <w:noWrap/>
            <w:vAlign w:val="center"/>
            <w:hideMark/>
          </w:tcPr>
          <w:p w14:paraId="767491F7" w14:textId="7D0EA16A"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(6,342)</w:t>
            </w:r>
          </w:p>
        </w:tc>
        <w:tc>
          <w:tcPr>
            <w:tcW w:w="1701" w:type="dxa"/>
            <w:tcBorders>
              <w:top w:val="nil"/>
              <w:left w:val="single" w:sz="12" w:space="0" w:color="auto"/>
              <w:bottom w:val="single" w:sz="4" w:space="0" w:color="auto"/>
              <w:right w:val="single" w:sz="12" w:space="0" w:color="auto"/>
            </w:tcBorders>
            <w:noWrap/>
            <w:vAlign w:val="center"/>
            <w:hideMark/>
          </w:tcPr>
          <w:p w14:paraId="7110B487" w14:textId="35535F7C"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(6,342)</w:t>
            </w:r>
          </w:p>
        </w:tc>
      </w:tr>
      <w:tr w:rsidR="00D86B2E" w:rsidRPr="00C670CB" w14:paraId="094CA147" w14:textId="77777777">
        <w:trPr>
          <w:trHeight w:val="281"/>
        </w:trPr>
        <w:tc>
          <w:tcPr>
            <w:tcW w:w="453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4917A639" w14:textId="77777777" w:rsidR="00D86B2E" w:rsidRPr="00C670CB" w:rsidRDefault="00D86B2E" w:rsidP="00D86B2E">
            <w:pP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Directorates Total</w:t>
            </w:r>
          </w:p>
        </w:tc>
        <w:tc>
          <w:tcPr>
            <w:tcW w:w="1559" w:type="dxa"/>
            <w:tcBorders>
              <w:top w:val="single" w:sz="12" w:space="0" w:color="auto"/>
              <w:left w:val="nil"/>
              <w:bottom w:val="single" w:sz="12" w:space="0" w:color="auto"/>
              <w:right w:val="single" w:sz="4" w:space="0" w:color="auto"/>
            </w:tcBorders>
            <w:shd w:val="clear" w:color="auto" w:fill="E8E8E8"/>
            <w:noWrap/>
            <w:vAlign w:val="center"/>
            <w:hideMark/>
          </w:tcPr>
          <w:p w14:paraId="2B50BBC4" w14:textId="29474632" w:rsidR="00D86B2E" w:rsidRPr="00C670CB" w:rsidRDefault="00D86B2E" w:rsidP="00D86B2E">
            <w:pPr>
              <w:jc w:val="right"/>
              <w:rPr>
                <w:rFonts w:eastAsia="Times New Roman" w:cs="Times New Roman"/>
                <w:b/>
                <w:color w:val="000000"/>
                <w:kern w:val="0"/>
                <w:sz w:val="20"/>
                <w:szCs w:val="20"/>
                <w:lang w:eastAsia="en-GB"/>
                <w14:ligatures w14:val="none"/>
              </w:rPr>
            </w:pPr>
            <w:r>
              <w:rPr>
                <w:b/>
                <w:bCs/>
                <w:color w:val="000000"/>
                <w:sz w:val="20"/>
                <w:szCs w:val="20"/>
              </w:rPr>
              <w:t>16,778</w:t>
            </w:r>
          </w:p>
        </w:tc>
        <w:tc>
          <w:tcPr>
            <w:tcW w:w="1559"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534006A0" w14:textId="2E5CAABB" w:rsidR="00D86B2E" w:rsidRPr="00C670CB" w:rsidRDefault="00D86B2E" w:rsidP="00D86B2E">
            <w:pPr>
              <w:jc w:val="right"/>
              <w:rPr>
                <w:rFonts w:eastAsia="Times New Roman" w:cs="Times New Roman"/>
                <w:b/>
                <w:color w:val="000000"/>
                <w:kern w:val="0"/>
                <w:sz w:val="20"/>
                <w:szCs w:val="20"/>
                <w:lang w:eastAsia="en-GB"/>
                <w14:ligatures w14:val="none"/>
              </w:rPr>
            </w:pPr>
            <w:r>
              <w:rPr>
                <w:b/>
                <w:bCs/>
                <w:color w:val="000000"/>
                <w:sz w:val="20"/>
                <w:szCs w:val="20"/>
              </w:rPr>
              <w:t>(10,345)</w:t>
            </w:r>
          </w:p>
        </w:tc>
        <w:tc>
          <w:tcPr>
            <w:tcW w:w="1701"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5A4AF959" w14:textId="2EB664A5" w:rsidR="00D86B2E" w:rsidRPr="00C670CB" w:rsidRDefault="00D86B2E" w:rsidP="00D86B2E">
            <w:pPr>
              <w:jc w:val="right"/>
              <w:rPr>
                <w:rFonts w:eastAsia="Times New Roman" w:cs="Times New Roman"/>
                <w:b/>
                <w:color w:val="000000"/>
                <w:kern w:val="0"/>
                <w:sz w:val="20"/>
                <w:szCs w:val="20"/>
                <w:lang w:eastAsia="en-GB"/>
                <w14:ligatures w14:val="none"/>
              </w:rPr>
            </w:pPr>
            <w:r>
              <w:rPr>
                <w:b/>
                <w:bCs/>
                <w:color w:val="000000"/>
                <w:sz w:val="20"/>
                <w:szCs w:val="20"/>
              </w:rPr>
              <w:t>6,432</w:t>
            </w:r>
          </w:p>
        </w:tc>
      </w:tr>
      <w:tr w:rsidR="00D86B2E" w:rsidRPr="00C670CB" w14:paraId="7DBF97AD" w14:textId="77777777" w:rsidTr="00C775B6">
        <w:trPr>
          <w:trHeight w:val="27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5BD3E161" w14:textId="77777777" w:rsidR="00D86B2E" w:rsidRPr="00C670CB" w:rsidRDefault="00D86B2E" w:rsidP="00D86B2E">
            <w:pPr>
              <w:rPr>
                <w:rFonts w:eastAsia="Times New Roman" w:cs="Times New Roman"/>
                <w:b/>
                <w:color w:val="000000"/>
                <w:kern w:val="0"/>
                <w:sz w:val="20"/>
                <w:szCs w:val="20"/>
                <w:lang w:eastAsia="en-GB"/>
                <w14:ligatures w14:val="none"/>
              </w:rPr>
            </w:pPr>
            <w:r w:rsidRPr="3CB26660">
              <w:rPr>
                <w:rFonts w:eastAsia="Times New Roman" w:cs="Times New Roman"/>
                <w:b/>
                <w:color w:val="000000"/>
                <w:kern w:val="0"/>
                <w:sz w:val="20"/>
                <w:szCs w:val="20"/>
                <w:lang w:eastAsia="en-GB"/>
                <w14:ligatures w14:val="none"/>
              </w:rPr>
              <w:t>Central Expenses</w:t>
            </w:r>
          </w:p>
        </w:tc>
        <w:tc>
          <w:tcPr>
            <w:tcW w:w="1559" w:type="dxa"/>
            <w:tcBorders>
              <w:top w:val="nil"/>
              <w:left w:val="nil"/>
              <w:bottom w:val="single" w:sz="4" w:space="0" w:color="auto"/>
              <w:right w:val="single" w:sz="4" w:space="0" w:color="auto"/>
            </w:tcBorders>
            <w:noWrap/>
            <w:vAlign w:val="bottom"/>
            <w:hideMark/>
          </w:tcPr>
          <w:p w14:paraId="6A7A361B" w14:textId="263FDE1E" w:rsidR="00D86B2E" w:rsidRPr="00C670CB" w:rsidRDefault="00D86B2E" w:rsidP="00D86B2E">
            <w:pPr>
              <w:jc w:val="right"/>
              <w:rPr>
                <w:color w:val="000000"/>
                <w:kern w:val="0"/>
                <w:sz w:val="20"/>
                <w:szCs w:val="20"/>
                <w:lang w:eastAsia="en-GB"/>
                <w14:ligatures w14:val="none"/>
              </w:rPr>
            </w:pPr>
          </w:p>
        </w:tc>
        <w:tc>
          <w:tcPr>
            <w:tcW w:w="1559" w:type="dxa"/>
            <w:tcBorders>
              <w:top w:val="nil"/>
              <w:left w:val="single" w:sz="12" w:space="0" w:color="auto"/>
              <w:bottom w:val="single" w:sz="4" w:space="0" w:color="auto"/>
              <w:right w:val="single" w:sz="4" w:space="0" w:color="auto"/>
            </w:tcBorders>
            <w:noWrap/>
            <w:vAlign w:val="bottom"/>
            <w:hideMark/>
          </w:tcPr>
          <w:p w14:paraId="6D7A8AEA" w14:textId="7B38E602" w:rsidR="00D86B2E" w:rsidRPr="00C670CB" w:rsidRDefault="00D86B2E" w:rsidP="00D86B2E">
            <w:pPr>
              <w:jc w:val="right"/>
              <w:rPr>
                <w:color w:val="000000"/>
                <w:kern w:val="0"/>
                <w:sz w:val="20"/>
                <w:szCs w:val="20"/>
                <w:lang w:eastAsia="en-GB"/>
                <w14:ligatures w14:val="none"/>
              </w:rPr>
            </w:pPr>
          </w:p>
        </w:tc>
        <w:tc>
          <w:tcPr>
            <w:tcW w:w="1701" w:type="dxa"/>
            <w:tcBorders>
              <w:top w:val="nil"/>
              <w:left w:val="single" w:sz="12" w:space="0" w:color="auto"/>
              <w:bottom w:val="single" w:sz="4" w:space="0" w:color="auto"/>
              <w:right w:val="single" w:sz="12" w:space="0" w:color="auto"/>
            </w:tcBorders>
            <w:noWrap/>
            <w:vAlign w:val="bottom"/>
            <w:hideMark/>
          </w:tcPr>
          <w:p w14:paraId="11301C6F" w14:textId="50DCD502" w:rsidR="00D86B2E" w:rsidRPr="00C670CB" w:rsidRDefault="00D86B2E" w:rsidP="00D86B2E">
            <w:pPr>
              <w:jc w:val="right"/>
              <w:rPr>
                <w:color w:val="000000"/>
                <w:kern w:val="0"/>
                <w:sz w:val="20"/>
                <w:szCs w:val="20"/>
                <w:lang w:eastAsia="en-GB"/>
                <w14:ligatures w14:val="none"/>
              </w:rPr>
            </w:pPr>
          </w:p>
        </w:tc>
      </w:tr>
      <w:tr w:rsidR="00D86B2E" w:rsidRPr="00C670CB" w14:paraId="4C8C9CE0"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3A2AC162"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TVCA Property Overhead Costs</w:t>
            </w:r>
          </w:p>
        </w:tc>
        <w:tc>
          <w:tcPr>
            <w:tcW w:w="1559" w:type="dxa"/>
            <w:tcBorders>
              <w:top w:val="nil"/>
              <w:left w:val="nil"/>
              <w:bottom w:val="single" w:sz="4" w:space="0" w:color="auto"/>
              <w:right w:val="single" w:sz="4" w:space="0" w:color="auto"/>
            </w:tcBorders>
            <w:noWrap/>
            <w:vAlign w:val="center"/>
            <w:hideMark/>
          </w:tcPr>
          <w:p w14:paraId="1549980F" w14:textId="74735A1A"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610</w:t>
            </w:r>
          </w:p>
        </w:tc>
        <w:tc>
          <w:tcPr>
            <w:tcW w:w="1559" w:type="dxa"/>
            <w:tcBorders>
              <w:top w:val="nil"/>
              <w:left w:val="single" w:sz="12" w:space="0" w:color="auto"/>
              <w:bottom w:val="single" w:sz="4" w:space="0" w:color="auto"/>
              <w:right w:val="single" w:sz="4" w:space="0" w:color="auto"/>
            </w:tcBorders>
            <w:noWrap/>
            <w:vAlign w:val="center"/>
            <w:hideMark/>
          </w:tcPr>
          <w:p w14:paraId="435B278E" w14:textId="1DD15308"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218</w:t>
            </w:r>
          </w:p>
        </w:tc>
        <w:tc>
          <w:tcPr>
            <w:tcW w:w="1701" w:type="dxa"/>
            <w:tcBorders>
              <w:top w:val="nil"/>
              <w:left w:val="single" w:sz="12" w:space="0" w:color="auto"/>
              <w:bottom w:val="single" w:sz="4" w:space="0" w:color="auto"/>
              <w:right w:val="single" w:sz="12" w:space="0" w:color="auto"/>
            </w:tcBorders>
            <w:noWrap/>
            <w:vAlign w:val="center"/>
            <w:hideMark/>
          </w:tcPr>
          <w:p w14:paraId="1B093D97" w14:textId="299BD5C0"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828</w:t>
            </w:r>
          </w:p>
        </w:tc>
      </w:tr>
      <w:tr w:rsidR="00D86B2E" w:rsidRPr="00C670CB" w14:paraId="3C68704F"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496B211B"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Interest Payable</w:t>
            </w:r>
          </w:p>
        </w:tc>
        <w:tc>
          <w:tcPr>
            <w:tcW w:w="1559" w:type="dxa"/>
            <w:tcBorders>
              <w:top w:val="nil"/>
              <w:left w:val="nil"/>
              <w:bottom w:val="single" w:sz="4" w:space="0" w:color="auto"/>
              <w:right w:val="single" w:sz="4" w:space="0" w:color="auto"/>
            </w:tcBorders>
            <w:noWrap/>
            <w:vAlign w:val="center"/>
            <w:hideMark/>
          </w:tcPr>
          <w:p w14:paraId="2DE1D995" w14:textId="0B43727D"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19,518</w:t>
            </w:r>
          </w:p>
        </w:tc>
        <w:tc>
          <w:tcPr>
            <w:tcW w:w="1559" w:type="dxa"/>
            <w:tcBorders>
              <w:top w:val="nil"/>
              <w:left w:val="single" w:sz="12" w:space="0" w:color="auto"/>
              <w:bottom w:val="single" w:sz="4" w:space="0" w:color="auto"/>
              <w:right w:val="single" w:sz="4" w:space="0" w:color="auto"/>
            </w:tcBorders>
            <w:noWrap/>
            <w:vAlign w:val="center"/>
            <w:hideMark/>
          </w:tcPr>
          <w:p w14:paraId="4C64FBA0" w14:textId="45DD939F"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6,334</w:t>
            </w:r>
          </w:p>
        </w:tc>
        <w:tc>
          <w:tcPr>
            <w:tcW w:w="1701" w:type="dxa"/>
            <w:tcBorders>
              <w:top w:val="nil"/>
              <w:left w:val="single" w:sz="12" w:space="0" w:color="auto"/>
              <w:bottom w:val="single" w:sz="4" w:space="0" w:color="auto"/>
              <w:right w:val="single" w:sz="12" w:space="0" w:color="auto"/>
            </w:tcBorders>
            <w:noWrap/>
            <w:vAlign w:val="center"/>
            <w:hideMark/>
          </w:tcPr>
          <w:p w14:paraId="59160270" w14:textId="2EB8A9CA"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25,851</w:t>
            </w:r>
          </w:p>
        </w:tc>
      </w:tr>
      <w:tr w:rsidR="00D86B2E" w:rsidRPr="00C670CB" w14:paraId="4223C149"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0DA95694"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Interest Receivable Treasury Management</w:t>
            </w:r>
          </w:p>
        </w:tc>
        <w:tc>
          <w:tcPr>
            <w:tcW w:w="1559" w:type="dxa"/>
            <w:tcBorders>
              <w:top w:val="nil"/>
              <w:left w:val="nil"/>
              <w:bottom w:val="single" w:sz="4" w:space="0" w:color="auto"/>
              <w:right w:val="single" w:sz="4" w:space="0" w:color="auto"/>
            </w:tcBorders>
            <w:noWrap/>
            <w:vAlign w:val="center"/>
            <w:hideMark/>
          </w:tcPr>
          <w:p w14:paraId="346B1102" w14:textId="7D568591"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(1,750)</w:t>
            </w:r>
          </w:p>
        </w:tc>
        <w:tc>
          <w:tcPr>
            <w:tcW w:w="1559" w:type="dxa"/>
            <w:tcBorders>
              <w:top w:val="nil"/>
              <w:left w:val="single" w:sz="12" w:space="0" w:color="auto"/>
              <w:bottom w:val="single" w:sz="4" w:space="0" w:color="auto"/>
              <w:right w:val="single" w:sz="4" w:space="0" w:color="auto"/>
            </w:tcBorders>
            <w:noWrap/>
            <w:vAlign w:val="center"/>
            <w:hideMark/>
          </w:tcPr>
          <w:p w14:paraId="0A7837C5" w14:textId="19BAC2F6"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250</w:t>
            </w:r>
          </w:p>
        </w:tc>
        <w:tc>
          <w:tcPr>
            <w:tcW w:w="1701" w:type="dxa"/>
            <w:tcBorders>
              <w:top w:val="nil"/>
              <w:left w:val="single" w:sz="12" w:space="0" w:color="auto"/>
              <w:bottom w:val="single" w:sz="4" w:space="0" w:color="auto"/>
              <w:right w:val="single" w:sz="12" w:space="0" w:color="auto"/>
            </w:tcBorders>
            <w:noWrap/>
            <w:vAlign w:val="center"/>
            <w:hideMark/>
          </w:tcPr>
          <w:p w14:paraId="41004354" w14:textId="2CD620E0"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(1,500)</w:t>
            </w:r>
          </w:p>
        </w:tc>
      </w:tr>
      <w:tr w:rsidR="00D86B2E" w:rsidRPr="00C670CB" w14:paraId="11612CD5"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70BAEA34" w14:textId="6DD7CF06"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Interest Receivable (Lending)</w:t>
            </w:r>
          </w:p>
        </w:tc>
        <w:tc>
          <w:tcPr>
            <w:tcW w:w="1559" w:type="dxa"/>
            <w:tcBorders>
              <w:top w:val="nil"/>
              <w:left w:val="nil"/>
              <w:bottom w:val="single" w:sz="4" w:space="0" w:color="auto"/>
              <w:right w:val="single" w:sz="4" w:space="0" w:color="auto"/>
            </w:tcBorders>
            <w:noWrap/>
            <w:vAlign w:val="center"/>
            <w:hideMark/>
          </w:tcPr>
          <w:p w14:paraId="4DB7C12E" w14:textId="2DB7EC1F"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(12,063)</w:t>
            </w:r>
          </w:p>
        </w:tc>
        <w:tc>
          <w:tcPr>
            <w:tcW w:w="1559" w:type="dxa"/>
            <w:tcBorders>
              <w:top w:val="nil"/>
              <w:left w:val="single" w:sz="12" w:space="0" w:color="auto"/>
              <w:bottom w:val="single" w:sz="4" w:space="0" w:color="auto"/>
              <w:right w:val="single" w:sz="4" w:space="0" w:color="auto"/>
            </w:tcBorders>
            <w:noWrap/>
            <w:vAlign w:val="center"/>
            <w:hideMark/>
          </w:tcPr>
          <w:p w14:paraId="1D7AD7F5" w14:textId="03EA2454"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(8,615)</w:t>
            </w:r>
          </w:p>
        </w:tc>
        <w:tc>
          <w:tcPr>
            <w:tcW w:w="1701" w:type="dxa"/>
            <w:tcBorders>
              <w:top w:val="nil"/>
              <w:left w:val="single" w:sz="12" w:space="0" w:color="auto"/>
              <w:bottom w:val="single" w:sz="4" w:space="0" w:color="auto"/>
              <w:right w:val="single" w:sz="12" w:space="0" w:color="auto"/>
            </w:tcBorders>
            <w:noWrap/>
            <w:vAlign w:val="center"/>
            <w:hideMark/>
          </w:tcPr>
          <w:p w14:paraId="0CBB881B" w14:textId="48804D6F"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(20,678)</w:t>
            </w:r>
          </w:p>
        </w:tc>
      </w:tr>
      <w:tr w:rsidR="00D86B2E" w:rsidRPr="00C670CB" w14:paraId="775446A9"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5801A39F"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Contribution to Bad and Doubtful Debt</w:t>
            </w:r>
          </w:p>
        </w:tc>
        <w:tc>
          <w:tcPr>
            <w:tcW w:w="1559" w:type="dxa"/>
            <w:tcBorders>
              <w:top w:val="nil"/>
              <w:left w:val="nil"/>
              <w:bottom w:val="single" w:sz="4" w:space="0" w:color="auto"/>
              <w:right w:val="single" w:sz="4" w:space="0" w:color="auto"/>
            </w:tcBorders>
            <w:noWrap/>
            <w:vAlign w:val="center"/>
            <w:hideMark/>
          </w:tcPr>
          <w:p w14:paraId="51EEE619" w14:textId="6BBB7577"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w:t>
            </w:r>
          </w:p>
        </w:tc>
        <w:tc>
          <w:tcPr>
            <w:tcW w:w="1559" w:type="dxa"/>
            <w:tcBorders>
              <w:top w:val="nil"/>
              <w:left w:val="single" w:sz="12" w:space="0" w:color="auto"/>
              <w:bottom w:val="single" w:sz="4" w:space="0" w:color="auto"/>
              <w:right w:val="single" w:sz="4" w:space="0" w:color="auto"/>
            </w:tcBorders>
            <w:noWrap/>
            <w:vAlign w:val="center"/>
            <w:hideMark/>
          </w:tcPr>
          <w:p w14:paraId="54FE3708" w14:textId="72C5DA63"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6,189</w:t>
            </w:r>
          </w:p>
        </w:tc>
        <w:tc>
          <w:tcPr>
            <w:tcW w:w="1701" w:type="dxa"/>
            <w:tcBorders>
              <w:top w:val="nil"/>
              <w:left w:val="single" w:sz="12" w:space="0" w:color="auto"/>
              <w:bottom w:val="single" w:sz="4" w:space="0" w:color="auto"/>
              <w:right w:val="single" w:sz="12" w:space="0" w:color="auto"/>
            </w:tcBorders>
            <w:noWrap/>
            <w:vAlign w:val="center"/>
            <w:hideMark/>
          </w:tcPr>
          <w:p w14:paraId="3792019A" w14:textId="560EA2B1"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6,189</w:t>
            </w:r>
          </w:p>
        </w:tc>
      </w:tr>
      <w:tr w:rsidR="00D86B2E" w:rsidRPr="00C670CB" w14:paraId="7E892753"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7727B9CD"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MRP</w:t>
            </w:r>
          </w:p>
        </w:tc>
        <w:tc>
          <w:tcPr>
            <w:tcW w:w="1559" w:type="dxa"/>
            <w:tcBorders>
              <w:top w:val="nil"/>
              <w:left w:val="nil"/>
              <w:bottom w:val="single" w:sz="4" w:space="0" w:color="auto"/>
              <w:right w:val="single" w:sz="4" w:space="0" w:color="auto"/>
            </w:tcBorders>
            <w:noWrap/>
            <w:vAlign w:val="center"/>
            <w:hideMark/>
          </w:tcPr>
          <w:p w14:paraId="4A0FE9C7" w14:textId="1579F7B6"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6,978</w:t>
            </w:r>
          </w:p>
        </w:tc>
        <w:tc>
          <w:tcPr>
            <w:tcW w:w="1559" w:type="dxa"/>
            <w:tcBorders>
              <w:top w:val="nil"/>
              <w:left w:val="single" w:sz="12" w:space="0" w:color="auto"/>
              <w:bottom w:val="single" w:sz="4" w:space="0" w:color="auto"/>
              <w:right w:val="single" w:sz="4" w:space="0" w:color="auto"/>
            </w:tcBorders>
            <w:noWrap/>
            <w:vAlign w:val="center"/>
            <w:hideMark/>
          </w:tcPr>
          <w:p w14:paraId="5F885E51" w14:textId="774E2708"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910</w:t>
            </w:r>
          </w:p>
        </w:tc>
        <w:tc>
          <w:tcPr>
            <w:tcW w:w="1701" w:type="dxa"/>
            <w:tcBorders>
              <w:top w:val="nil"/>
              <w:left w:val="single" w:sz="12" w:space="0" w:color="auto"/>
              <w:bottom w:val="single" w:sz="4" w:space="0" w:color="auto"/>
              <w:right w:val="single" w:sz="12" w:space="0" w:color="auto"/>
            </w:tcBorders>
            <w:noWrap/>
            <w:vAlign w:val="center"/>
            <w:hideMark/>
          </w:tcPr>
          <w:p w14:paraId="0D974044" w14:textId="74A512CA"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7,888</w:t>
            </w:r>
          </w:p>
        </w:tc>
      </w:tr>
      <w:tr w:rsidR="00D86B2E" w:rsidRPr="00C670CB" w14:paraId="4D387F7F"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6EB684F3"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Investment Properties (Net Return)</w:t>
            </w:r>
          </w:p>
        </w:tc>
        <w:tc>
          <w:tcPr>
            <w:tcW w:w="1559" w:type="dxa"/>
            <w:tcBorders>
              <w:top w:val="nil"/>
              <w:left w:val="nil"/>
              <w:bottom w:val="single" w:sz="4" w:space="0" w:color="auto"/>
              <w:right w:val="single" w:sz="4" w:space="0" w:color="auto"/>
            </w:tcBorders>
            <w:noWrap/>
            <w:vAlign w:val="center"/>
            <w:hideMark/>
          </w:tcPr>
          <w:p w14:paraId="6B174A66" w14:textId="7BCECB50"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(391)</w:t>
            </w:r>
          </w:p>
        </w:tc>
        <w:tc>
          <w:tcPr>
            <w:tcW w:w="1559" w:type="dxa"/>
            <w:tcBorders>
              <w:top w:val="nil"/>
              <w:left w:val="single" w:sz="12" w:space="0" w:color="auto"/>
              <w:bottom w:val="single" w:sz="4" w:space="0" w:color="auto"/>
              <w:right w:val="single" w:sz="4" w:space="0" w:color="auto"/>
            </w:tcBorders>
            <w:noWrap/>
            <w:vAlign w:val="center"/>
            <w:hideMark/>
          </w:tcPr>
          <w:p w14:paraId="778E0916" w14:textId="475AA6AF"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(59)</w:t>
            </w:r>
          </w:p>
        </w:tc>
        <w:tc>
          <w:tcPr>
            <w:tcW w:w="1701" w:type="dxa"/>
            <w:tcBorders>
              <w:top w:val="nil"/>
              <w:left w:val="single" w:sz="12" w:space="0" w:color="auto"/>
              <w:bottom w:val="single" w:sz="4" w:space="0" w:color="auto"/>
              <w:right w:val="single" w:sz="12" w:space="0" w:color="auto"/>
            </w:tcBorders>
            <w:noWrap/>
            <w:vAlign w:val="center"/>
            <w:hideMark/>
          </w:tcPr>
          <w:p w14:paraId="1EFF8FB3" w14:textId="7BB973B1"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(451)</w:t>
            </w:r>
          </w:p>
        </w:tc>
      </w:tr>
      <w:tr w:rsidR="00D86B2E" w:rsidRPr="00C670CB" w14:paraId="4A8215F2" w14:textId="77777777">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0B801131"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Net Lease Wrap Income</w:t>
            </w:r>
          </w:p>
        </w:tc>
        <w:tc>
          <w:tcPr>
            <w:tcW w:w="1559" w:type="dxa"/>
            <w:tcBorders>
              <w:top w:val="nil"/>
              <w:left w:val="nil"/>
              <w:bottom w:val="single" w:sz="4" w:space="0" w:color="auto"/>
              <w:right w:val="single" w:sz="4" w:space="0" w:color="auto"/>
            </w:tcBorders>
            <w:noWrap/>
            <w:vAlign w:val="center"/>
            <w:hideMark/>
          </w:tcPr>
          <w:p w14:paraId="4B204769" w14:textId="32803893"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w:t>
            </w:r>
          </w:p>
        </w:tc>
        <w:tc>
          <w:tcPr>
            <w:tcW w:w="1559" w:type="dxa"/>
            <w:tcBorders>
              <w:top w:val="nil"/>
              <w:left w:val="single" w:sz="12" w:space="0" w:color="auto"/>
              <w:bottom w:val="single" w:sz="4" w:space="0" w:color="auto"/>
              <w:right w:val="single" w:sz="4" w:space="0" w:color="auto"/>
            </w:tcBorders>
            <w:noWrap/>
            <w:vAlign w:val="center"/>
            <w:hideMark/>
          </w:tcPr>
          <w:p w14:paraId="30607358" w14:textId="7C0723E2"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(1,028)</w:t>
            </w:r>
          </w:p>
        </w:tc>
        <w:tc>
          <w:tcPr>
            <w:tcW w:w="1701" w:type="dxa"/>
            <w:tcBorders>
              <w:top w:val="nil"/>
              <w:left w:val="single" w:sz="12" w:space="0" w:color="auto"/>
              <w:bottom w:val="single" w:sz="4" w:space="0" w:color="auto"/>
              <w:right w:val="single" w:sz="12" w:space="0" w:color="auto"/>
            </w:tcBorders>
            <w:noWrap/>
            <w:vAlign w:val="center"/>
            <w:hideMark/>
          </w:tcPr>
          <w:p w14:paraId="7F35B588" w14:textId="38F8960E" w:rsidR="00D86B2E" w:rsidRPr="00C670CB" w:rsidRDefault="00D86B2E" w:rsidP="00D86B2E">
            <w:pPr>
              <w:jc w:val="right"/>
              <w:rPr>
                <w:rFonts w:eastAsia="Times New Roman" w:cs="Times New Roman"/>
                <w:color w:val="000000"/>
                <w:kern w:val="0"/>
                <w:sz w:val="20"/>
                <w:szCs w:val="20"/>
                <w:lang w:eastAsia="en-GB"/>
                <w14:ligatures w14:val="none"/>
              </w:rPr>
            </w:pPr>
            <w:r>
              <w:rPr>
                <w:color w:val="000000"/>
                <w:sz w:val="20"/>
                <w:szCs w:val="20"/>
              </w:rPr>
              <w:t>(1,028)</w:t>
            </w:r>
          </w:p>
        </w:tc>
      </w:tr>
      <w:tr w:rsidR="00D86B2E" w:rsidRPr="00C670CB" w14:paraId="43E9C4A4" w14:textId="77777777" w:rsidTr="00C775B6">
        <w:trPr>
          <w:trHeight w:val="281"/>
        </w:trPr>
        <w:tc>
          <w:tcPr>
            <w:tcW w:w="453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EAEBF5B" w14:textId="77777777" w:rsidR="00D86B2E" w:rsidRPr="00C670CB" w:rsidRDefault="00D86B2E" w:rsidP="00D86B2E">
            <w:pP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Net Central Expense Costs</w:t>
            </w:r>
          </w:p>
        </w:tc>
        <w:tc>
          <w:tcPr>
            <w:tcW w:w="1559" w:type="dxa"/>
            <w:tcBorders>
              <w:top w:val="single" w:sz="12" w:space="0" w:color="auto"/>
              <w:left w:val="nil"/>
              <w:bottom w:val="single" w:sz="12" w:space="0" w:color="auto"/>
              <w:right w:val="single" w:sz="4" w:space="0" w:color="auto"/>
            </w:tcBorders>
            <w:shd w:val="clear" w:color="auto" w:fill="E8E8E8"/>
            <w:noWrap/>
            <w:vAlign w:val="center"/>
            <w:hideMark/>
          </w:tcPr>
          <w:p w14:paraId="3B80D434" w14:textId="278D725B" w:rsidR="00D86B2E" w:rsidRPr="15136D42" w:rsidRDefault="00D86B2E" w:rsidP="00D86B2E">
            <w:pPr>
              <w:jc w:val="right"/>
              <w:rPr>
                <w:rFonts w:eastAsia="Inter Light" w:cs="Inter Light"/>
                <w:sz w:val="20"/>
                <w:szCs w:val="20"/>
              </w:rPr>
            </w:pPr>
            <w:r>
              <w:rPr>
                <w:color w:val="000000"/>
                <w:sz w:val="20"/>
                <w:szCs w:val="20"/>
              </w:rPr>
              <w:t>12,902</w:t>
            </w:r>
          </w:p>
        </w:tc>
        <w:tc>
          <w:tcPr>
            <w:tcW w:w="1559"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7305D6D7" w14:textId="1F5D05B3" w:rsidR="00D86B2E" w:rsidRPr="15136D42" w:rsidRDefault="00D86B2E" w:rsidP="00D86B2E">
            <w:pPr>
              <w:jc w:val="right"/>
              <w:rPr>
                <w:rFonts w:eastAsia="Inter Light" w:cs="Inter Light"/>
                <w:sz w:val="20"/>
                <w:szCs w:val="20"/>
              </w:rPr>
            </w:pPr>
            <w:r>
              <w:rPr>
                <w:color w:val="000000"/>
                <w:sz w:val="20"/>
                <w:szCs w:val="20"/>
              </w:rPr>
              <w:t>4,199</w:t>
            </w:r>
          </w:p>
        </w:tc>
        <w:tc>
          <w:tcPr>
            <w:tcW w:w="1701"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276A3846" w14:textId="4529FA27" w:rsidR="00D86B2E" w:rsidRPr="15136D42" w:rsidRDefault="00D86B2E" w:rsidP="00D86B2E">
            <w:pPr>
              <w:jc w:val="right"/>
              <w:rPr>
                <w:rFonts w:eastAsia="Inter Light" w:cs="Inter Light"/>
                <w:sz w:val="20"/>
                <w:szCs w:val="20"/>
              </w:rPr>
            </w:pPr>
            <w:r>
              <w:rPr>
                <w:color w:val="000000"/>
                <w:sz w:val="20"/>
                <w:szCs w:val="20"/>
              </w:rPr>
              <w:t>17,099</w:t>
            </w:r>
          </w:p>
        </w:tc>
      </w:tr>
      <w:tr w:rsidR="00D86B2E" w:rsidRPr="00C670CB" w14:paraId="687FBE99" w14:textId="77777777" w:rsidTr="00C775B6">
        <w:trPr>
          <w:trHeight w:val="27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7A29A3F6"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Emp NI Grant</w:t>
            </w:r>
          </w:p>
        </w:tc>
        <w:tc>
          <w:tcPr>
            <w:tcW w:w="1559" w:type="dxa"/>
            <w:tcBorders>
              <w:top w:val="nil"/>
              <w:left w:val="nil"/>
              <w:bottom w:val="single" w:sz="4" w:space="0" w:color="auto"/>
              <w:right w:val="single" w:sz="4" w:space="0" w:color="auto"/>
            </w:tcBorders>
            <w:noWrap/>
            <w:vAlign w:val="center"/>
            <w:hideMark/>
          </w:tcPr>
          <w:p w14:paraId="468DA1C5" w14:textId="766E959D" w:rsidR="00D86B2E" w:rsidRPr="15136D42" w:rsidRDefault="00D86B2E" w:rsidP="00D86B2E">
            <w:pPr>
              <w:jc w:val="right"/>
              <w:rPr>
                <w:rFonts w:eastAsia="Inter Light" w:cs="Inter Light"/>
                <w:sz w:val="20"/>
                <w:szCs w:val="20"/>
              </w:rPr>
            </w:pPr>
            <w:r>
              <w:rPr>
                <w:color w:val="000000"/>
                <w:sz w:val="20"/>
                <w:szCs w:val="20"/>
              </w:rPr>
              <w:t>(179)</w:t>
            </w:r>
          </w:p>
        </w:tc>
        <w:tc>
          <w:tcPr>
            <w:tcW w:w="1559" w:type="dxa"/>
            <w:tcBorders>
              <w:top w:val="nil"/>
              <w:left w:val="single" w:sz="12" w:space="0" w:color="auto"/>
              <w:bottom w:val="single" w:sz="4" w:space="0" w:color="auto"/>
              <w:right w:val="single" w:sz="4" w:space="0" w:color="auto"/>
            </w:tcBorders>
            <w:noWrap/>
            <w:vAlign w:val="center"/>
            <w:hideMark/>
          </w:tcPr>
          <w:p w14:paraId="7F952C88" w14:textId="2C30E0D4" w:rsidR="00D86B2E" w:rsidRPr="15136D42" w:rsidRDefault="00D86B2E" w:rsidP="00D86B2E">
            <w:pPr>
              <w:jc w:val="right"/>
              <w:rPr>
                <w:rFonts w:eastAsia="Inter Light" w:cs="Inter Light"/>
                <w:sz w:val="20"/>
                <w:szCs w:val="20"/>
              </w:rPr>
            </w:pPr>
            <w:r>
              <w:rPr>
                <w:color w:val="000000"/>
                <w:sz w:val="20"/>
                <w:szCs w:val="20"/>
              </w:rPr>
              <w:t>-</w:t>
            </w:r>
          </w:p>
        </w:tc>
        <w:tc>
          <w:tcPr>
            <w:tcW w:w="1701" w:type="dxa"/>
            <w:tcBorders>
              <w:top w:val="nil"/>
              <w:left w:val="single" w:sz="12" w:space="0" w:color="auto"/>
              <w:bottom w:val="single" w:sz="4" w:space="0" w:color="auto"/>
              <w:right w:val="single" w:sz="12" w:space="0" w:color="auto"/>
            </w:tcBorders>
            <w:noWrap/>
            <w:vAlign w:val="center"/>
            <w:hideMark/>
          </w:tcPr>
          <w:p w14:paraId="14350095" w14:textId="6A2DDF28" w:rsidR="00D86B2E" w:rsidRPr="15136D42" w:rsidRDefault="00D86B2E" w:rsidP="00D86B2E">
            <w:pPr>
              <w:jc w:val="right"/>
              <w:rPr>
                <w:rFonts w:eastAsia="Inter Light" w:cs="Inter Light"/>
                <w:sz w:val="20"/>
                <w:szCs w:val="20"/>
              </w:rPr>
            </w:pPr>
            <w:r>
              <w:rPr>
                <w:color w:val="000000"/>
                <w:sz w:val="20"/>
                <w:szCs w:val="20"/>
              </w:rPr>
              <w:t>(179)</w:t>
            </w:r>
          </w:p>
        </w:tc>
      </w:tr>
      <w:tr w:rsidR="00D86B2E" w:rsidRPr="00C670CB" w14:paraId="2253D617" w14:textId="77777777" w:rsidTr="00C775B6">
        <w:trPr>
          <w:trHeight w:val="26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07BFDBE3"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Devolution Funding</w:t>
            </w:r>
          </w:p>
        </w:tc>
        <w:tc>
          <w:tcPr>
            <w:tcW w:w="1559" w:type="dxa"/>
            <w:tcBorders>
              <w:top w:val="nil"/>
              <w:left w:val="nil"/>
              <w:bottom w:val="single" w:sz="4" w:space="0" w:color="auto"/>
              <w:right w:val="single" w:sz="4" w:space="0" w:color="auto"/>
            </w:tcBorders>
            <w:noWrap/>
            <w:vAlign w:val="center"/>
            <w:hideMark/>
          </w:tcPr>
          <w:p w14:paraId="1FE72C47" w14:textId="7CD6FFEF" w:rsidR="00D86B2E" w:rsidRPr="15136D42" w:rsidRDefault="00D86B2E" w:rsidP="00D86B2E">
            <w:pPr>
              <w:jc w:val="right"/>
              <w:rPr>
                <w:rFonts w:eastAsia="Inter Light" w:cs="Inter Light"/>
                <w:sz w:val="20"/>
                <w:szCs w:val="20"/>
              </w:rPr>
            </w:pPr>
            <w:r>
              <w:rPr>
                <w:color w:val="000000"/>
                <w:sz w:val="20"/>
                <w:szCs w:val="20"/>
              </w:rPr>
              <w:t>(15,000)</w:t>
            </w:r>
          </w:p>
        </w:tc>
        <w:tc>
          <w:tcPr>
            <w:tcW w:w="1559" w:type="dxa"/>
            <w:tcBorders>
              <w:top w:val="nil"/>
              <w:left w:val="single" w:sz="12" w:space="0" w:color="auto"/>
              <w:bottom w:val="single" w:sz="4" w:space="0" w:color="auto"/>
              <w:right w:val="single" w:sz="4" w:space="0" w:color="auto"/>
            </w:tcBorders>
            <w:noWrap/>
            <w:vAlign w:val="center"/>
            <w:hideMark/>
          </w:tcPr>
          <w:p w14:paraId="3D6CD69E" w14:textId="3796C842" w:rsidR="00D86B2E" w:rsidRPr="15136D42" w:rsidRDefault="00D86B2E" w:rsidP="00D86B2E">
            <w:pPr>
              <w:jc w:val="right"/>
              <w:rPr>
                <w:rFonts w:eastAsia="Inter Light" w:cs="Inter Light"/>
                <w:sz w:val="20"/>
                <w:szCs w:val="20"/>
              </w:rPr>
            </w:pPr>
            <w:r>
              <w:rPr>
                <w:color w:val="000000"/>
                <w:sz w:val="20"/>
                <w:szCs w:val="20"/>
              </w:rPr>
              <w:t>-</w:t>
            </w:r>
          </w:p>
        </w:tc>
        <w:tc>
          <w:tcPr>
            <w:tcW w:w="1701" w:type="dxa"/>
            <w:tcBorders>
              <w:top w:val="nil"/>
              <w:left w:val="single" w:sz="12" w:space="0" w:color="auto"/>
              <w:bottom w:val="single" w:sz="4" w:space="0" w:color="auto"/>
              <w:right w:val="single" w:sz="12" w:space="0" w:color="auto"/>
            </w:tcBorders>
            <w:noWrap/>
            <w:vAlign w:val="center"/>
            <w:hideMark/>
          </w:tcPr>
          <w:p w14:paraId="3F7F217B" w14:textId="2E8D5F26" w:rsidR="00D86B2E" w:rsidRPr="15136D42" w:rsidRDefault="00D86B2E" w:rsidP="00D86B2E">
            <w:pPr>
              <w:jc w:val="right"/>
              <w:rPr>
                <w:rFonts w:eastAsia="Inter Light" w:cs="Inter Light"/>
                <w:sz w:val="20"/>
                <w:szCs w:val="20"/>
              </w:rPr>
            </w:pPr>
            <w:r>
              <w:rPr>
                <w:color w:val="000000"/>
                <w:sz w:val="20"/>
                <w:szCs w:val="20"/>
              </w:rPr>
              <w:t>(15,000)</w:t>
            </w:r>
          </w:p>
        </w:tc>
      </w:tr>
      <w:tr w:rsidR="00D86B2E" w:rsidRPr="00C670CB" w14:paraId="5216EA2A" w14:textId="77777777" w:rsidTr="00C775B6">
        <w:trPr>
          <w:trHeight w:val="27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0548E2F0"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Mayoral capacity</w:t>
            </w:r>
          </w:p>
        </w:tc>
        <w:tc>
          <w:tcPr>
            <w:tcW w:w="1559" w:type="dxa"/>
            <w:tcBorders>
              <w:top w:val="nil"/>
              <w:left w:val="nil"/>
              <w:bottom w:val="single" w:sz="4" w:space="0" w:color="auto"/>
              <w:right w:val="single" w:sz="4" w:space="0" w:color="auto"/>
            </w:tcBorders>
            <w:noWrap/>
            <w:vAlign w:val="center"/>
            <w:hideMark/>
          </w:tcPr>
          <w:p w14:paraId="3F413753" w14:textId="0088001D" w:rsidR="00D86B2E" w:rsidRPr="15136D42" w:rsidRDefault="00D86B2E" w:rsidP="00D86B2E">
            <w:pPr>
              <w:jc w:val="right"/>
              <w:rPr>
                <w:rFonts w:eastAsia="Inter Light" w:cs="Inter Light"/>
                <w:sz w:val="20"/>
                <w:szCs w:val="20"/>
              </w:rPr>
            </w:pPr>
            <w:r>
              <w:rPr>
                <w:color w:val="000000"/>
                <w:sz w:val="20"/>
                <w:szCs w:val="20"/>
              </w:rPr>
              <w:t>(1,500)</w:t>
            </w:r>
          </w:p>
        </w:tc>
        <w:tc>
          <w:tcPr>
            <w:tcW w:w="1559" w:type="dxa"/>
            <w:tcBorders>
              <w:top w:val="nil"/>
              <w:left w:val="single" w:sz="12" w:space="0" w:color="auto"/>
              <w:bottom w:val="single" w:sz="4" w:space="0" w:color="auto"/>
              <w:right w:val="single" w:sz="4" w:space="0" w:color="auto"/>
            </w:tcBorders>
            <w:noWrap/>
            <w:vAlign w:val="center"/>
            <w:hideMark/>
          </w:tcPr>
          <w:p w14:paraId="4A11A013" w14:textId="48369EA3" w:rsidR="00D86B2E" w:rsidRPr="15136D42" w:rsidRDefault="00D86B2E" w:rsidP="00D86B2E">
            <w:pPr>
              <w:jc w:val="right"/>
              <w:rPr>
                <w:rFonts w:eastAsia="Inter Light" w:cs="Inter Light"/>
                <w:sz w:val="20"/>
                <w:szCs w:val="20"/>
              </w:rPr>
            </w:pPr>
            <w:r>
              <w:rPr>
                <w:color w:val="000000"/>
                <w:sz w:val="20"/>
                <w:szCs w:val="20"/>
              </w:rPr>
              <w:t>-</w:t>
            </w:r>
          </w:p>
        </w:tc>
        <w:tc>
          <w:tcPr>
            <w:tcW w:w="1701" w:type="dxa"/>
            <w:tcBorders>
              <w:top w:val="nil"/>
              <w:left w:val="single" w:sz="12" w:space="0" w:color="auto"/>
              <w:bottom w:val="single" w:sz="4" w:space="0" w:color="auto"/>
              <w:right w:val="single" w:sz="12" w:space="0" w:color="auto"/>
            </w:tcBorders>
            <w:noWrap/>
            <w:vAlign w:val="center"/>
            <w:hideMark/>
          </w:tcPr>
          <w:p w14:paraId="3BF1D215" w14:textId="7270B119" w:rsidR="00D86B2E" w:rsidRPr="15136D42" w:rsidRDefault="00D86B2E" w:rsidP="00D86B2E">
            <w:pPr>
              <w:jc w:val="right"/>
              <w:rPr>
                <w:rFonts w:eastAsia="Inter Light" w:cs="Inter Light"/>
                <w:sz w:val="20"/>
                <w:szCs w:val="20"/>
              </w:rPr>
            </w:pPr>
            <w:r>
              <w:rPr>
                <w:color w:val="000000"/>
                <w:sz w:val="20"/>
                <w:szCs w:val="20"/>
              </w:rPr>
              <w:t>(1,500)</w:t>
            </w:r>
          </w:p>
        </w:tc>
      </w:tr>
      <w:tr w:rsidR="00D86B2E" w:rsidRPr="00C670CB" w14:paraId="79364D57" w14:textId="77777777" w:rsidTr="00C775B6">
        <w:trPr>
          <w:trHeight w:val="281"/>
        </w:trPr>
        <w:tc>
          <w:tcPr>
            <w:tcW w:w="453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4222A65" w14:textId="77777777" w:rsidR="00D86B2E" w:rsidRPr="00C670CB" w:rsidRDefault="00D86B2E" w:rsidP="00D86B2E">
            <w:pP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 xml:space="preserve">Total Core Funding </w:t>
            </w:r>
          </w:p>
        </w:tc>
        <w:tc>
          <w:tcPr>
            <w:tcW w:w="1559" w:type="dxa"/>
            <w:tcBorders>
              <w:top w:val="single" w:sz="12" w:space="0" w:color="auto"/>
              <w:left w:val="nil"/>
              <w:bottom w:val="single" w:sz="12" w:space="0" w:color="auto"/>
              <w:right w:val="single" w:sz="4" w:space="0" w:color="auto"/>
            </w:tcBorders>
            <w:shd w:val="clear" w:color="auto" w:fill="E8E8E8"/>
            <w:noWrap/>
            <w:vAlign w:val="center"/>
            <w:hideMark/>
          </w:tcPr>
          <w:p w14:paraId="45BDA66E" w14:textId="6846FCC6" w:rsidR="00D86B2E" w:rsidRPr="15136D42" w:rsidRDefault="00D86B2E" w:rsidP="00D86B2E">
            <w:pPr>
              <w:jc w:val="right"/>
              <w:rPr>
                <w:rFonts w:eastAsia="Inter Light" w:cs="Inter Light"/>
                <w:sz w:val="20"/>
                <w:szCs w:val="20"/>
              </w:rPr>
            </w:pPr>
            <w:r>
              <w:rPr>
                <w:color w:val="000000"/>
                <w:sz w:val="20"/>
                <w:szCs w:val="20"/>
              </w:rPr>
              <w:t>(16,679)</w:t>
            </w:r>
          </w:p>
        </w:tc>
        <w:tc>
          <w:tcPr>
            <w:tcW w:w="1559"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1A776D43" w14:textId="34D0E397" w:rsidR="00D86B2E" w:rsidRPr="15136D42" w:rsidRDefault="00D86B2E" w:rsidP="00D86B2E">
            <w:pPr>
              <w:jc w:val="right"/>
              <w:rPr>
                <w:rFonts w:eastAsia="Inter Light" w:cs="Inter Light"/>
                <w:sz w:val="20"/>
                <w:szCs w:val="20"/>
              </w:rPr>
            </w:pPr>
            <w:r>
              <w:rPr>
                <w:color w:val="000000"/>
                <w:sz w:val="20"/>
                <w:szCs w:val="20"/>
              </w:rPr>
              <w:t>-</w:t>
            </w:r>
          </w:p>
        </w:tc>
        <w:tc>
          <w:tcPr>
            <w:tcW w:w="1701"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6F74B4E2" w14:textId="4CB7F178" w:rsidR="00D86B2E" w:rsidRPr="15136D42" w:rsidRDefault="00D86B2E" w:rsidP="00D86B2E">
            <w:pPr>
              <w:jc w:val="right"/>
              <w:rPr>
                <w:rFonts w:eastAsia="Inter Light" w:cs="Inter Light"/>
                <w:sz w:val="20"/>
                <w:szCs w:val="20"/>
              </w:rPr>
            </w:pPr>
            <w:r>
              <w:rPr>
                <w:color w:val="000000"/>
                <w:sz w:val="20"/>
                <w:szCs w:val="20"/>
              </w:rPr>
              <w:t>(16,679)</w:t>
            </w:r>
          </w:p>
        </w:tc>
      </w:tr>
      <w:tr w:rsidR="00D86B2E" w:rsidRPr="00C670CB" w14:paraId="4C350935" w14:textId="77777777" w:rsidTr="00C775B6">
        <w:trPr>
          <w:trHeight w:val="28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33420309"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Enterprise Zone Business rates</w:t>
            </w:r>
          </w:p>
        </w:tc>
        <w:tc>
          <w:tcPr>
            <w:tcW w:w="1559" w:type="dxa"/>
            <w:tcBorders>
              <w:top w:val="nil"/>
              <w:left w:val="nil"/>
              <w:bottom w:val="single" w:sz="4" w:space="0" w:color="auto"/>
              <w:right w:val="single" w:sz="4" w:space="0" w:color="auto"/>
            </w:tcBorders>
            <w:noWrap/>
            <w:vAlign w:val="center"/>
            <w:hideMark/>
          </w:tcPr>
          <w:p w14:paraId="62D10D1C" w14:textId="47B76BB9" w:rsidR="00D86B2E" w:rsidRPr="15136D42" w:rsidRDefault="00D86B2E" w:rsidP="00D86B2E">
            <w:pPr>
              <w:jc w:val="right"/>
              <w:rPr>
                <w:rFonts w:eastAsia="Inter Light" w:cs="Inter Light"/>
                <w:sz w:val="20"/>
                <w:szCs w:val="20"/>
              </w:rPr>
            </w:pPr>
            <w:r>
              <w:rPr>
                <w:color w:val="000000"/>
                <w:sz w:val="20"/>
                <w:szCs w:val="20"/>
              </w:rPr>
              <w:t>(5,999)</w:t>
            </w:r>
          </w:p>
        </w:tc>
        <w:tc>
          <w:tcPr>
            <w:tcW w:w="1559" w:type="dxa"/>
            <w:tcBorders>
              <w:top w:val="nil"/>
              <w:left w:val="single" w:sz="12" w:space="0" w:color="auto"/>
              <w:bottom w:val="single" w:sz="4" w:space="0" w:color="auto"/>
              <w:right w:val="single" w:sz="4" w:space="0" w:color="auto"/>
            </w:tcBorders>
            <w:noWrap/>
            <w:vAlign w:val="center"/>
            <w:hideMark/>
          </w:tcPr>
          <w:p w14:paraId="315CBB9A" w14:textId="62AC7DF5" w:rsidR="00D86B2E" w:rsidRPr="15136D42" w:rsidRDefault="00D86B2E" w:rsidP="00D86B2E">
            <w:pPr>
              <w:jc w:val="right"/>
              <w:rPr>
                <w:rFonts w:eastAsia="Inter Light" w:cs="Inter Light"/>
                <w:sz w:val="20"/>
                <w:szCs w:val="20"/>
              </w:rPr>
            </w:pPr>
            <w:r>
              <w:rPr>
                <w:color w:val="000000"/>
                <w:sz w:val="20"/>
                <w:szCs w:val="20"/>
              </w:rPr>
              <w:t>(2,900)</w:t>
            </w:r>
          </w:p>
        </w:tc>
        <w:tc>
          <w:tcPr>
            <w:tcW w:w="1701" w:type="dxa"/>
            <w:tcBorders>
              <w:top w:val="nil"/>
              <w:left w:val="single" w:sz="12" w:space="0" w:color="auto"/>
              <w:bottom w:val="single" w:sz="4" w:space="0" w:color="auto"/>
              <w:right w:val="single" w:sz="12" w:space="0" w:color="auto"/>
            </w:tcBorders>
            <w:noWrap/>
            <w:vAlign w:val="center"/>
            <w:hideMark/>
          </w:tcPr>
          <w:p w14:paraId="0CE478BA" w14:textId="0E691379" w:rsidR="00D86B2E" w:rsidRPr="15136D42" w:rsidRDefault="00D86B2E" w:rsidP="00D86B2E">
            <w:pPr>
              <w:jc w:val="right"/>
              <w:rPr>
                <w:rFonts w:eastAsia="Inter Light" w:cs="Inter Light"/>
                <w:sz w:val="20"/>
                <w:szCs w:val="20"/>
              </w:rPr>
            </w:pPr>
            <w:r>
              <w:rPr>
                <w:color w:val="000000"/>
                <w:sz w:val="20"/>
                <w:szCs w:val="20"/>
              </w:rPr>
              <w:t>(8,899)</w:t>
            </w:r>
          </w:p>
        </w:tc>
      </w:tr>
      <w:tr w:rsidR="00D86B2E" w:rsidRPr="00C670CB" w14:paraId="5476CCC5" w14:textId="77777777" w:rsidTr="00C775B6">
        <w:trPr>
          <w:trHeight w:val="281"/>
        </w:trPr>
        <w:tc>
          <w:tcPr>
            <w:tcW w:w="453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29AF0A1A" w14:textId="77777777" w:rsidR="00D86B2E" w:rsidRPr="00C670CB" w:rsidRDefault="00D86B2E" w:rsidP="00D86B2E">
            <w:pP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Enterprise Zone Business rates Total</w:t>
            </w:r>
          </w:p>
        </w:tc>
        <w:tc>
          <w:tcPr>
            <w:tcW w:w="1559" w:type="dxa"/>
            <w:tcBorders>
              <w:top w:val="single" w:sz="12" w:space="0" w:color="auto"/>
              <w:left w:val="nil"/>
              <w:bottom w:val="single" w:sz="12" w:space="0" w:color="auto"/>
              <w:right w:val="single" w:sz="4" w:space="0" w:color="auto"/>
            </w:tcBorders>
            <w:shd w:val="clear" w:color="auto" w:fill="E8E8E8"/>
            <w:noWrap/>
            <w:vAlign w:val="center"/>
            <w:hideMark/>
          </w:tcPr>
          <w:p w14:paraId="718EBA54" w14:textId="701CB8E9" w:rsidR="00D86B2E" w:rsidRPr="15136D42" w:rsidRDefault="00D86B2E" w:rsidP="00D86B2E">
            <w:pPr>
              <w:jc w:val="right"/>
              <w:rPr>
                <w:rFonts w:eastAsia="Inter Light" w:cs="Inter Light"/>
                <w:sz w:val="20"/>
                <w:szCs w:val="20"/>
              </w:rPr>
            </w:pPr>
            <w:r>
              <w:rPr>
                <w:color w:val="000000"/>
                <w:sz w:val="20"/>
                <w:szCs w:val="20"/>
              </w:rPr>
              <w:t>(5,999)</w:t>
            </w:r>
          </w:p>
        </w:tc>
        <w:tc>
          <w:tcPr>
            <w:tcW w:w="1559"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1C90183F" w14:textId="18EEA614" w:rsidR="00D86B2E" w:rsidRPr="15136D42" w:rsidRDefault="00D86B2E" w:rsidP="00D86B2E">
            <w:pPr>
              <w:jc w:val="right"/>
              <w:rPr>
                <w:rFonts w:eastAsia="Inter Light" w:cs="Inter Light"/>
                <w:sz w:val="20"/>
                <w:szCs w:val="20"/>
              </w:rPr>
            </w:pPr>
            <w:r>
              <w:rPr>
                <w:color w:val="000000"/>
                <w:sz w:val="20"/>
                <w:szCs w:val="20"/>
              </w:rPr>
              <w:t>(2,900)</w:t>
            </w:r>
          </w:p>
        </w:tc>
        <w:tc>
          <w:tcPr>
            <w:tcW w:w="1701"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38E56F8F" w14:textId="1666023E" w:rsidR="00D86B2E" w:rsidRPr="15136D42" w:rsidRDefault="00D86B2E" w:rsidP="00D86B2E">
            <w:pPr>
              <w:jc w:val="right"/>
              <w:rPr>
                <w:rFonts w:eastAsia="Inter Light" w:cs="Inter Light"/>
                <w:sz w:val="20"/>
                <w:szCs w:val="20"/>
              </w:rPr>
            </w:pPr>
            <w:r>
              <w:rPr>
                <w:color w:val="000000"/>
                <w:sz w:val="20"/>
                <w:szCs w:val="20"/>
              </w:rPr>
              <w:t>(8,899)</w:t>
            </w:r>
          </w:p>
        </w:tc>
      </w:tr>
      <w:tr w:rsidR="00D86B2E" w:rsidRPr="00C670CB" w14:paraId="4EC5FFB7" w14:textId="77777777" w:rsidTr="00C775B6">
        <w:trPr>
          <w:trHeight w:val="281"/>
        </w:trPr>
        <w:tc>
          <w:tcPr>
            <w:tcW w:w="4537" w:type="dxa"/>
            <w:tcBorders>
              <w:top w:val="nil"/>
              <w:left w:val="single" w:sz="12" w:space="0" w:color="auto"/>
              <w:bottom w:val="single" w:sz="12" w:space="0" w:color="auto"/>
              <w:right w:val="single" w:sz="12" w:space="0" w:color="auto"/>
            </w:tcBorders>
            <w:shd w:val="clear" w:color="auto" w:fill="E8E8E8"/>
            <w:noWrap/>
            <w:vAlign w:val="bottom"/>
            <w:hideMark/>
          </w:tcPr>
          <w:p w14:paraId="6C9A92B5" w14:textId="77777777" w:rsidR="00D86B2E" w:rsidRPr="00C670CB" w:rsidRDefault="00D86B2E" w:rsidP="00D86B2E">
            <w:pP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Net Expenditure</w:t>
            </w:r>
          </w:p>
        </w:tc>
        <w:tc>
          <w:tcPr>
            <w:tcW w:w="1559" w:type="dxa"/>
            <w:tcBorders>
              <w:top w:val="nil"/>
              <w:left w:val="nil"/>
              <w:bottom w:val="single" w:sz="12" w:space="0" w:color="auto"/>
              <w:right w:val="single" w:sz="4" w:space="0" w:color="auto"/>
            </w:tcBorders>
            <w:shd w:val="clear" w:color="auto" w:fill="E8E8E8"/>
            <w:noWrap/>
            <w:vAlign w:val="center"/>
            <w:hideMark/>
          </w:tcPr>
          <w:p w14:paraId="6FCB8DBA" w14:textId="2FBB1882" w:rsidR="00D86B2E" w:rsidRPr="15136D42" w:rsidRDefault="00D86B2E" w:rsidP="00D86B2E">
            <w:pPr>
              <w:jc w:val="right"/>
              <w:rPr>
                <w:rFonts w:eastAsia="Inter Light" w:cs="Inter Light"/>
                <w:sz w:val="20"/>
                <w:szCs w:val="20"/>
              </w:rPr>
            </w:pPr>
            <w:r>
              <w:rPr>
                <w:color w:val="000000"/>
                <w:sz w:val="20"/>
                <w:szCs w:val="20"/>
              </w:rPr>
              <w:t>5,775</w:t>
            </w:r>
          </w:p>
        </w:tc>
        <w:tc>
          <w:tcPr>
            <w:tcW w:w="1559" w:type="dxa"/>
            <w:tcBorders>
              <w:top w:val="nil"/>
              <w:left w:val="single" w:sz="12" w:space="0" w:color="auto"/>
              <w:bottom w:val="single" w:sz="12" w:space="0" w:color="auto"/>
              <w:right w:val="single" w:sz="4" w:space="0" w:color="auto"/>
            </w:tcBorders>
            <w:shd w:val="clear" w:color="auto" w:fill="E8E8E8"/>
            <w:noWrap/>
            <w:vAlign w:val="center"/>
            <w:hideMark/>
          </w:tcPr>
          <w:p w14:paraId="7913551B" w14:textId="37A8037A" w:rsidR="00D86B2E" w:rsidRPr="15136D42" w:rsidRDefault="00D86B2E" w:rsidP="00D86B2E">
            <w:pPr>
              <w:jc w:val="right"/>
              <w:rPr>
                <w:rFonts w:eastAsia="Inter Light" w:cs="Inter Light"/>
                <w:sz w:val="20"/>
                <w:szCs w:val="20"/>
              </w:rPr>
            </w:pPr>
            <w:r>
              <w:rPr>
                <w:color w:val="000000"/>
                <w:sz w:val="20"/>
                <w:szCs w:val="20"/>
              </w:rPr>
              <w:t>(7,351)</w:t>
            </w:r>
          </w:p>
        </w:tc>
        <w:tc>
          <w:tcPr>
            <w:tcW w:w="1701" w:type="dxa"/>
            <w:tcBorders>
              <w:top w:val="nil"/>
              <w:left w:val="single" w:sz="12" w:space="0" w:color="auto"/>
              <w:bottom w:val="single" w:sz="12" w:space="0" w:color="auto"/>
              <w:right w:val="single" w:sz="12" w:space="0" w:color="auto"/>
            </w:tcBorders>
            <w:shd w:val="clear" w:color="auto" w:fill="E8E8E8"/>
            <w:noWrap/>
            <w:vAlign w:val="center"/>
            <w:hideMark/>
          </w:tcPr>
          <w:p w14:paraId="1D84EF6E" w14:textId="439A2767" w:rsidR="00D86B2E" w:rsidRPr="15136D42" w:rsidRDefault="00D86B2E" w:rsidP="00D86B2E">
            <w:pPr>
              <w:jc w:val="right"/>
              <w:rPr>
                <w:rFonts w:eastAsia="Inter Light" w:cs="Inter Light"/>
                <w:sz w:val="20"/>
                <w:szCs w:val="20"/>
              </w:rPr>
            </w:pPr>
            <w:r>
              <w:rPr>
                <w:color w:val="000000"/>
                <w:sz w:val="20"/>
                <w:szCs w:val="20"/>
              </w:rPr>
              <w:t>(1,580)</w:t>
            </w:r>
          </w:p>
        </w:tc>
      </w:tr>
      <w:tr w:rsidR="00D86B2E" w:rsidRPr="00C670CB" w14:paraId="127D67EC" w14:textId="77777777" w:rsidTr="00C775B6">
        <w:trPr>
          <w:trHeight w:val="27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1CEFF89B"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Contribution from Reserves</w:t>
            </w:r>
          </w:p>
        </w:tc>
        <w:tc>
          <w:tcPr>
            <w:tcW w:w="1559" w:type="dxa"/>
            <w:tcBorders>
              <w:top w:val="nil"/>
              <w:left w:val="nil"/>
              <w:bottom w:val="single" w:sz="4" w:space="0" w:color="auto"/>
              <w:right w:val="single" w:sz="4" w:space="0" w:color="auto"/>
            </w:tcBorders>
            <w:noWrap/>
            <w:vAlign w:val="center"/>
            <w:hideMark/>
          </w:tcPr>
          <w:p w14:paraId="1FA079B8" w14:textId="0BE66A38" w:rsidR="00D86B2E" w:rsidRPr="15136D42" w:rsidRDefault="00D86B2E" w:rsidP="00D86B2E">
            <w:pPr>
              <w:jc w:val="right"/>
              <w:rPr>
                <w:rFonts w:eastAsia="Inter Light" w:cs="Inter Light"/>
                <w:sz w:val="20"/>
                <w:szCs w:val="20"/>
              </w:rPr>
            </w:pPr>
            <w:r>
              <w:rPr>
                <w:color w:val="000000"/>
                <w:sz w:val="20"/>
                <w:szCs w:val="20"/>
              </w:rPr>
              <w:t>(5,772)</w:t>
            </w:r>
          </w:p>
        </w:tc>
        <w:tc>
          <w:tcPr>
            <w:tcW w:w="1559" w:type="dxa"/>
            <w:tcBorders>
              <w:top w:val="nil"/>
              <w:left w:val="single" w:sz="12" w:space="0" w:color="auto"/>
              <w:bottom w:val="single" w:sz="4" w:space="0" w:color="auto"/>
              <w:right w:val="single" w:sz="4" w:space="0" w:color="auto"/>
            </w:tcBorders>
            <w:noWrap/>
            <w:vAlign w:val="center"/>
            <w:hideMark/>
          </w:tcPr>
          <w:p w14:paraId="187B0909" w14:textId="4E0CF73C" w:rsidR="00D86B2E" w:rsidRPr="15136D42" w:rsidRDefault="00D86B2E" w:rsidP="00D86B2E">
            <w:pPr>
              <w:jc w:val="right"/>
              <w:rPr>
                <w:rFonts w:eastAsia="Inter Light" w:cs="Inter Light"/>
                <w:sz w:val="20"/>
                <w:szCs w:val="20"/>
              </w:rPr>
            </w:pPr>
            <w:r>
              <w:rPr>
                <w:color w:val="000000"/>
                <w:sz w:val="20"/>
                <w:szCs w:val="20"/>
              </w:rPr>
              <w:t>3,275</w:t>
            </w:r>
          </w:p>
        </w:tc>
        <w:tc>
          <w:tcPr>
            <w:tcW w:w="1701" w:type="dxa"/>
            <w:tcBorders>
              <w:top w:val="nil"/>
              <w:left w:val="single" w:sz="12" w:space="0" w:color="auto"/>
              <w:bottom w:val="single" w:sz="4" w:space="0" w:color="auto"/>
              <w:right w:val="single" w:sz="12" w:space="0" w:color="auto"/>
            </w:tcBorders>
            <w:noWrap/>
            <w:vAlign w:val="center"/>
            <w:hideMark/>
          </w:tcPr>
          <w:p w14:paraId="5808C02E" w14:textId="6275A285" w:rsidR="00D86B2E" w:rsidRPr="15136D42" w:rsidRDefault="00D86B2E" w:rsidP="00D86B2E">
            <w:pPr>
              <w:jc w:val="right"/>
              <w:rPr>
                <w:rFonts w:eastAsia="Inter Light" w:cs="Inter Light"/>
                <w:sz w:val="20"/>
                <w:szCs w:val="20"/>
              </w:rPr>
            </w:pPr>
            <w:r>
              <w:rPr>
                <w:color w:val="000000"/>
                <w:sz w:val="20"/>
                <w:szCs w:val="20"/>
              </w:rPr>
              <w:t>(2,497)</w:t>
            </w:r>
          </w:p>
        </w:tc>
      </w:tr>
      <w:tr w:rsidR="00D86B2E" w:rsidRPr="00C670CB" w14:paraId="093F4C98" w14:textId="77777777" w:rsidTr="00C775B6">
        <w:trPr>
          <w:trHeight w:val="271"/>
        </w:trPr>
        <w:tc>
          <w:tcPr>
            <w:tcW w:w="4537" w:type="dxa"/>
            <w:tcBorders>
              <w:top w:val="nil"/>
              <w:left w:val="single" w:sz="12" w:space="0" w:color="auto"/>
              <w:bottom w:val="single" w:sz="4" w:space="0" w:color="auto"/>
              <w:right w:val="single" w:sz="12" w:space="0" w:color="auto"/>
            </w:tcBorders>
            <w:shd w:val="clear" w:color="auto" w:fill="E8E8E8"/>
            <w:vAlign w:val="bottom"/>
            <w:hideMark/>
          </w:tcPr>
          <w:p w14:paraId="70087ED4" w14:textId="77777777" w:rsidR="00D86B2E" w:rsidRPr="00C670CB" w:rsidRDefault="00D86B2E" w:rsidP="00D86B2E">
            <w:pPr>
              <w:rPr>
                <w:rFonts w:eastAsia="Times New Roman" w:cs="Times New Roman"/>
                <w:color w:val="000000"/>
                <w:kern w:val="0"/>
                <w:sz w:val="20"/>
                <w:szCs w:val="20"/>
                <w:lang w:eastAsia="en-GB"/>
                <w14:ligatures w14:val="none"/>
              </w:rPr>
            </w:pPr>
            <w:r w:rsidRPr="00C670CB">
              <w:rPr>
                <w:rFonts w:eastAsia="Times New Roman" w:cs="Times New Roman"/>
                <w:color w:val="000000"/>
                <w:kern w:val="0"/>
                <w:sz w:val="20"/>
                <w:szCs w:val="20"/>
                <w:lang w:eastAsia="en-GB"/>
                <w14:ligatures w14:val="none"/>
              </w:rPr>
              <w:t>Contribution To Reserves</w:t>
            </w:r>
          </w:p>
        </w:tc>
        <w:tc>
          <w:tcPr>
            <w:tcW w:w="1559" w:type="dxa"/>
            <w:tcBorders>
              <w:top w:val="nil"/>
              <w:left w:val="nil"/>
              <w:bottom w:val="single" w:sz="4" w:space="0" w:color="auto"/>
              <w:right w:val="single" w:sz="4" w:space="0" w:color="auto"/>
            </w:tcBorders>
            <w:noWrap/>
            <w:vAlign w:val="center"/>
            <w:hideMark/>
          </w:tcPr>
          <w:p w14:paraId="216EA41A" w14:textId="5A53B6AC" w:rsidR="00D86B2E" w:rsidRPr="15136D42" w:rsidRDefault="00D86B2E" w:rsidP="00D86B2E">
            <w:pPr>
              <w:jc w:val="right"/>
              <w:rPr>
                <w:rFonts w:eastAsia="Inter Light" w:cs="Inter Light"/>
                <w:sz w:val="20"/>
                <w:szCs w:val="20"/>
              </w:rPr>
            </w:pPr>
            <w:r>
              <w:rPr>
                <w:color w:val="000000"/>
                <w:sz w:val="20"/>
                <w:szCs w:val="20"/>
              </w:rPr>
              <w:t>-</w:t>
            </w:r>
          </w:p>
        </w:tc>
        <w:tc>
          <w:tcPr>
            <w:tcW w:w="1559" w:type="dxa"/>
            <w:tcBorders>
              <w:top w:val="nil"/>
              <w:left w:val="single" w:sz="12" w:space="0" w:color="auto"/>
              <w:bottom w:val="single" w:sz="4" w:space="0" w:color="auto"/>
              <w:right w:val="single" w:sz="4" w:space="0" w:color="auto"/>
            </w:tcBorders>
            <w:noWrap/>
            <w:vAlign w:val="center"/>
            <w:hideMark/>
          </w:tcPr>
          <w:p w14:paraId="108A240E" w14:textId="770E45D1" w:rsidR="00D86B2E" w:rsidRPr="15136D42" w:rsidRDefault="00D86B2E" w:rsidP="00D86B2E">
            <w:pPr>
              <w:jc w:val="right"/>
              <w:rPr>
                <w:rFonts w:eastAsia="Inter Light" w:cs="Inter Light"/>
                <w:sz w:val="20"/>
                <w:szCs w:val="20"/>
              </w:rPr>
            </w:pPr>
            <w:r>
              <w:rPr>
                <w:color w:val="000000"/>
                <w:sz w:val="20"/>
                <w:szCs w:val="20"/>
              </w:rPr>
              <w:t>4,077</w:t>
            </w:r>
          </w:p>
        </w:tc>
        <w:tc>
          <w:tcPr>
            <w:tcW w:w="1701" w:type="dxa"/>
            <w:tcBorders>
              <w:top w:val="nil"/>
              <w:left w:val="single" w:sz="12" w:space="0" w:color="auto"/>
              <w:bottom w:val="single" w:sz="4" w:space="0" w:color="auto"/>
              <w:right w:val="single" w:sz="12" w:space="0" w:color="auto"/>
            </w:tcBorders>
            <w:noWrap/>
            <w:vAlign w:val="center"/>
            <w:hideMark/>
          </w:tcPr>
          <w:p w14:paraId="107D308C" w14:textId="7C463F86" w:rsidR="00D86B2E" w:rsidRPr="15136D42" w:rsidRDefault="00D86B2E" w:rsidP="00D86B2E">
            <w:pPr>
              <w:jc w:val="right"/>
              <w:rPr>
                <w:rFonts w:eastAsia="Inter Light" w:cs="Inter Light"/>
                <w:sz w:val="20"/>
                <w:szCs w:val="20"/>
              </w:rPr>
            </w:pPr>
            <w:r>
              <w:rPr>
                <w:color w:val="000000"/>
                <w:sz w:val="20"/>
                <w:szCs w:val="20"/>
              </w:rPr>
              <w:t>4,077</w:t>
            </w:r>
          </w:p>
        </w:tc>
      </w:tr>
      <w:tr w:rsidR="00D86B2E" w:rsidRPr="00C670CB" w14:paraId="22F1ACAF" w14:textId="77777777" w:rsidTr="00C775B6">
        <w:trPr>
          <w:trHeight w:val="281"/>
        </w:trPr>
        <w:tc>
          <w:tcPr>
            <w:tcW w:w="453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C6A10EC" w14:textId="2E51E61E" w:rsidR="00D86B2E" w:rsidRPr="00C670CB" w:rsidRDefault="00D86B2E" w:rsidP="00D86B2E">
            <w:pPr>
              <w:rPr>
                <w:rFonts w:eastAsia="Times New Roman" w:cs="Times New Roman"/>
                <w:b/>
                <w:bCs/>
                <w:color w:val="000000"/>
                <w:kern w:val="0"/>
                <w:sz w:val="20"/>
                <w:szCs w:val="20"/>
                <w:lang w:eastAsia="en-GB"/>
                <w14:ligatures w14:val="none"/>
              </w:rPr>
            </w:pPr>
            <w:r w:rsidRPr="00C670CB">
              <w:rPr>
                <w:rFonts w:eastAsia="Times New Roman" w:cs="Times New Roman"/>
                <w:b/>
                <w:bCs/>
                <w:color w:val="000000"/>
                <w:kern w:val="0"/>
                <w:sz w:val="20"/>
                <w:szCs w:val="20"/>
                <w:lang w:eastAsia="en-GB"/>
                <w14:ligatures w14:val="none"/>
              </w:rPr>
              <w:t>Net Expenditure after Contribution to/(From) Reserves</w:t>
            </w:r>
          </w:p>
        </w:tc>
        <w:tc>
          <w:tcPr>
            <w:tcW w:w="1559" w:type="dxa"/>
            <w:tcBorders>
              <w:top w:val="single" w:sz="12" w:space="0" w:color="auto"/>
              <w:left w:val="nil"/>
              <w:bottom w:val="single" w:sz="12" w:space="0" w:color="auto"/>
              <w:right w:val="single" w:sz="4" w:space="0" w:color="auto"/>
            </w:tcBorders>
            <w:shd w:val="clear" w:color="auto" w:fill="E8E8E8"/>
            <w:noWrap/>
            <w:vAlign w:val="center"/>
            <w:hideMark/>
          </w:tcPr>
          <w:p w14:paraId="10E0C25B" w14:textId="4C8850DF" w:rsidR="00D86B2E" w:rsidRPr="15136D42" w:rsidRDefault="00D86B2E" w:rsidP="00D86B2E">
            <w:pPr>
              <w:jc w:val="right"/>
              <w:rPr>
                <w:rFonts w:eastAsia="Inter Light" w:cs="Inter Light"/>
                <w:sz w:val="20"/>
                <w:szCs w:val="20"/>
              </w:rPr>
            </w:pPr>
            <w:r>
              <w:rPr>
                <w:rFonts w:eastAsia="Inter Light" w:cs="Inter Light"/>
                <w:color w:val="000000"/>
                <w:sz w:val="20"/>
                <w:szCs w:val="20"/>
              </w:rPr>
              <w:t>-</w:t>
            </w:r>
          </w:p>
        </w:tc>
        <w:tc>
          <w:tcPr>
            <w:tcW w:w="1559" w:type="dxa"/>
            <w:tcBorders>
              <w:top w:val="single" w:sz="12" w:space="0" w:color="auto"/>
              <w:left w:val="single" w:sz="12" w:space="0" w:color="auto"/>
              <w:bottom w:val="single" w:sz="12" w:space="0" w:color="auto"/>
              <w:right w:val="single" w:sz="4" w:space="0" w:color="auto"/>
            </w:tcBorders>
            <w:shd w:val="clear" w:color="auto" w:fill="E8E8E8"/>
            <w:noWrap/>
            <w:vAlign w:val="center"/>
            <w:hideMark/>
          </w:tcPr>
          <w:p w14:paraId="7C3DB61F" w14:textId="41BDF14B" w:rsidR="00D86B2E" w:rsidRPr="15136D42" w:rsidRDefault="00D86B2E" w:rsidP="00D86B2E">
            <w:pPr>
              <w:jc w:val="right"/>
              <w:rPr>
                <w:rFonts w:eastAsia="Inter Light" w:cs="Inter Light"/>
                <w:sz w:val="20"/>
                <w:szCs w:val="20"/>
              </w:rPr>
            </w:pPr>
            <w:r>
              <w:rPr>
                <w:rFonts w:eastAsia="Inter Light" w:cs="Inter Light"/>
                <w:color w:val="000000"/>
                <w:sz w:val="20"/>
                <w:szCs w:val="20"/>
              </w:rPr>
              <w:t>-</w:t>
            </w:r>
          </w:p>
        </w:tc>
        <w:tc>
          <w:tcPr>
            <w:tcW w:w="1701" w:type="dxa"/>
            <w:tcBorders>
              <w:top w:val="single" w:sz="12" w:space="0" w:color="auto"/>
              <w:left w:val="single" w:sz="12" w:space="0" w:color="auto"/>
              <w:bottom w:val="single" w:sz="12" w:space="0" w:color="auto"/>
              <w:right w:val="single" w:sz="12" w:space="0" w:color="auto"/>
            </w:tcBorders>
            <w:shd w:val="clear" w:color="auto" w:fill="E8E8E8"/>
            <w:noWrap/>
            <w:vAlign w:val="center"/>
            <w:hideMark/>
          </w:tcPr>
          <w:p w14:paraId="2F107DD5" w14:textId="2C2A6A1C" w:rsidR="00D86B2E" w:rsidRPr="15136D42" w:rsidRDefault="00D86B2E" w:rsidP="00D86B2E">
            <w:pPr>
              <w:jc w:val="right"/>
              <w:rPr>
                <w:rFonts w:eastAsia="Inter Light" w:cs="Inter Light"/>
                <w:sz w:val="20"/>
                <w:szCs w:val="20"/>
              </w:rPr>
            </w:pPr>
            <w:r>
              <w:rPr>
                <w:rFonts w:eastAsia="Inter Light" w:cs="Inter Light"/>
                <w:color w:val="000000"/>
                <w:sz w:val="20"/>
                <w:szCs w:val="20"/>
              </w:rPr>
              <w:t>-</w:t>
            </w:r>
          </w:p>
        </w:tc>
      </w:tr>
    </w:tbl>
    <w:p w14:paraId="5C0663A3" w14:textId="77777777" w:rsidR="00872831" w:rsidRPr="009D7A02" w:rsidRDefault="00872831" w:rsidP="00D06EAE">
      <w:pPr>
        <w:spacing w:line="276" w:lineRule="auto"/>
        <w:rPr>
          <w:rFonts w:ascii="Inter" w:hAnsi="Inter" w:cs="Arial"/>
          <w:b/>
          <w:bCs/>
        </w:rPr>
      </w:pPr>
    </w:p>
    <w:p w14:paraId="53C0ED5C" w14:textId="0BD554AA" w:rsidR="2A7AF560" w:rsidRDefault="2A7AF560" w:rsidP="2A7AF560">
      <w:pPr>
        <w:pStyle w:val="ListParagraph"/>
        <w:spacing w:line="276" w:lineRule="auto"/>
        <w:ind w:left="0"/>
        <w:rPr>
          <w:rFonts w:ascii="Inter" w:hAnsi="Inter" w:cs="Arial"/>
          <w:b/>
          <w:bCs/>
          <w:sz w:val="24"/>
        </w:rPr>
      </w:pPr>
    </w:p>
    <w:p w14:paraId="6F714C8B" w14:textId="5305833A" w:rsidR="00A55302" w:rsidRPr="009D7A02" w:rsidRDefault="00D06EAE" w:rsidP="41590B60">
      <w:pPr>
        <w:spacing w:line="276" w:lineRule="auto"/>
        <w:rPr>
          <w:rFonts w:ascii="Inter" w:hAnsi="Inter" w:cs="Arial"/>
          <w:b/>
          <w:bCs/>
        </w:rPr>
      </w:pPr>
      <w:r w:rsidRPr="2DFE4DF5">
        <w:rPr>
          <w:rFonts w:ascii="Inter" w:hAnsi="Inter" w:cs="Arial"/>
          <w:b/>
          <w:bCs/>
        </w:rPr>
        <w:t>Directorate</w:t>
      </w:r>
      <w:r w:rsidR="2BA6342E" w:rsidRPr="2DFE4DF5">
        <w:rPr>
          <w:rFonts w:ascii="Inter" w:hAnsi="Inter" w:cs="Arial"/>
          <w:b/>
          <w:bCs/>
        </w:rPr>
        <w:t>s</w:t>
      </w:r>
    </w:p>
    <w:p w14:paraId="33A54FAB" w14:textId="6D9996F9" w:rsidR="00D06EAE" w:rsidRPr="009D7A02" w:rsidRDefault="00D06EAE" w:rsidP="2DFE4DF5">
      <w:pPr>
        <w:pStyle w:val="ListParagraph"/>
        <w:numPr>
          <w:ilvl w:val="0"/>
          <w:numId w:val="3"/>
        </w:numPr>
        <w:spacing w:line="276" w:lineRule="auto"/>
        <w:ind w:left="567" w:hanging="567"/>
        <w:rPr>
          <w:rFonts w:ascii="Inter" w:hAnsi="Inter" w:cs="Arial"/>
        </w:rPr>
      </w:pPr>
      <w:r w:rsidRPr="2DFE4DF5">
        <w:rPr>
          <w:rFonts w:ascii="Inter" w:hAnsi="Inter" w:cs="Arial"/>
        </w:rPr>
        <w:lastRenderedPageBreak/>
        <w:t xml:space="preserve">The Directorates net total above include all specific revenue grant streams outside of core funding and have been included against those services that have responsibility for delivery </w:t>
      </w:r>
      <w:r w:rsidR="28A9780F" w:rsidRPr="2DFE4DF5">
        <w:rPr>
          <w:rFonts w:ascii="Inter" w:hAnsi="Inter" w:cs="Arial"/>
        </w:rPr>
        <w:t>of the</w:t>
      </w:r>
      <w:r w:rsidRPr="2DFE4DF5">
        <w:rPr>
          <w:rFonts w:ascii="Inter" w:hAnsi="Inter" w:cs="Arial"/>
        </w:rPr>
        <w:t xml:space="preserve"> grant</w:t>
      </w:r>
      <w:r w:rsidR="4DFBCDF4" w:rsidRPr="2DFE4DF5">
        <w:rPr>
          <w:rFonts w:ascii="Inter" w:hAnsi="Inter" w:cs="Arial"/>
        </w:rPr>
        <w:t>s</w:t>
      </w:r>
      <w:r w:rsidRPr="2DFE4DF5">
        <w:rPr>
          <w:rFonts w:ascii="Inter" w:hAnsi="Inter" w:cs="Arial"/>
        </w:rPr>
        <w:t xml:space="preserve">.  A breakdown of each Directorate budget is attached at Appendix </w:t>
      </w:r>
      <w:r w:rsidR="0067781C" w:rsidRPr="2DFE4DF5">
        <w:rPr>
          <w:rFonts w:ascii="Inter" w:hAnsi="Inter" w:cs="Arial"/>
        </w:rPr>
        <w:t>1</w:t>
      </w:r>
      <w:r w:rsidRPr="2DFE4DF5">
        <w:rPr>
          <w:rFonts w:ascii="Inter" w:hAnsi="Inter" w:cs="Arial"/>
        </w:rPr>
        <w:t>.</w:t>
      </w:r>
    </w:p>
    <w:p w14:paraId="67EE26D0" w14:textId="77777777" w:rsidR="00D06EAE" w:rsidRPr="009D7A02" w:rsidRDefault="00D06EAE" w:rsidP="00BE2502">
      <w:pPr>
        <w:pStyle w:val="ListParagraph"/>
        <w:spacing w:line="276" w:lineRule="auto"/>
        <w:ind w:left="567" w:hanging="567"/>
        <w:rPr>
          <w:rFonts w:ascii="Inter" w:hAnsi="Inter" w:cs="Arial"/>
        </w:rPr>
      </w:pPr>
    </w:p>
    <w:p w14:paraId="3653F5A5" w14:textId="09FB3388" w:rsidR="00D06EAE" w:rsidRPr="009D7A02" w:rsidRDefault="00D06EAE" w:rsidP="2DFE4DF5">
      <w:pPr>
        <w:pStyle w:val="ListParagraph"/>
        <w:numPr>
          <w:ilvl w:val="0"/>
          <w:numId w:val="3"/>
        </w:numPr>
        <w:spacing w:line="276" w:lineRule="auto"/>
        <w:ind w:left="567" w:hanging="567"/>
        <w:rPr>
          <w:rFonts w:ascii="Inter" w:hAnsi="Inter" w:cs="Arial"/>
        </w:rPr>
      </w:pPr>
      <w:r w:rsidRPr="2DFE4DF5">
        <w:rPr>
          <w:rFonts w:ascii="Inter" w:hAnsi="Inter" w:cs="Arial"/>
        </w:rPr>
        <w:t>As grant allocations can change significantly from year to year, comparison with the prior year budget can be difficult.  Therefore, in summary the key changes within the net directorate budgets are</w:t>
      </w:r>
      <w:r w:rsidR="4145EA90" w:rsidRPr="2DFE4DF5">
        <w:rPr>
          <w:rFonts w:ascii="Inter" w:hAnsi="Inter" w:cs="Arial"/>
        </w:rPr>
        <w:t xml:space="preserve"> set out below</w:t>
      </w:r>
      <w:r w:rsidR="003A0EF9">
        <w:rPr>
          <w:rFonts w:ascii="Inter" w:hAnsi="Inter" w:cs="Arial"/>
        </w:rPr>
        <w:t>.</w:t>
      </w:r>
    </w:p>
    <w:p w14:paraId="4E038CFD" w14:textId="77777777" w:rsidR="00D06EAE" w:rsidRPr="009D7A02" w:rsidRDefault="00D06EAE" w:rsidP="00A55302">
      <w:pPr>
        <w:pStyle w:val="ListParagraph"/>
        <w:spacing w:line="276" w:lineRule="auto"/>
        <w:ind w:left="567" w:right="7371" w:hanging="567"/>
        <w:rPr>
          <w:rFonts w:ascii="Inter" w:hAnsi="Inter" w:cs="Arial"/>
        </w:rPr>
      </w:pPr>
    </w:p>
    <w:p w14:paraId="238AB008" w14:textId="2733AC9A" w:rsidR="00A55302" w:rsidRPr="009D7A02" w:rsidRDefault="00D06EAE" w:rsidP="41590B60">
      <w:pPr>
        <w:spacing w:line="276" w:lineRule="auto"/>
        <w:ind w:right="6661"/>
        <w:rPr>
          <w:rFonts w:ascii="Inter" w:hAnsi="Inter" w:cs="Arial"/>
          <w:b/>
          <w:bCs/>
        </w:rPr>
      </w:pPr>
      <w:r w:rsidRPr="41590B60">
        <w:rPr>
          <w:rFonts w:ascii="Inter" w:hAnsi="Inter" w:cs="Arial"/>
          <w:b/>
          <w:bCs/>
        </w:rPr>
        <w:t>Interest payable</w:t>
      </w:r>
    </w:p>
    <w:p w14:paraId="2FAAC639" w14:textId="46F879A8" w:rsidR="00D06EAE" w:rsidRPr="009D7A02" w:rsidRDefault="00D06EAE" w:rsidP="2DFE4DF5">
      <w:pPr>
        <w:pStyle w:val="ListParagraph"/>
        <w:numPr>
          <w:ilvl w:val="0"/>
          <w:numId w:val="3"/>
        </w:numPr>
        <w:spacing w:line="276" w:lineRule="auto"/>
        <w:ind w:left="567" w:right="-1" w:hanging="567"/>
        <w:rPr>
          <w:rFonts w:ascii="Inter" w:hAnsi="Inter" w:cs="Arial"/>
        </w:rPr>
      </w:pPr>
      <w:r w:rsidRPr="2DFE4DF5">
        <w:rPr>
          <w:rFonts w:ascii="Inter" w:hAnsi="Inter" w:cs="Arial"/>
        </w:rPr>
        <w:t>The interest payable budget has increased by £6.</w:t>
      </w:r>
      <w:r w:rsidR="00E6220E" w:rsidRPr="2DFE4DF5">
        <w:rPr>
          <w:rFonts w:ascii="Inter" w:hAnsi="Inter" w:cs="Arial"/>
        </w:rPr>
        <w:t>334</w:t>
      </w:r>
      <w:r w:rsidRPr="2DFE4DF5">
        <w:rPr>
          <w:rFonts w:ascii="Inter" w:hAnsi="Inter" w:cs="Arial"/>
        </w:rPr>
        <w:t>m to £25.</w:t>
      </w:r>
      <w:r w:rsidR="00F46717" w:rsidRPr="2DFE4DF5">
        <w:rPr>
          <w:rFonts w:ascii="Inter" w:hAnsi="Inter" w:cs="Arial"/>
        </w:rPr>
        <w:t>85</w:t>
      </w:r>
      <w:r w:rsidRPr="2DFE4DF5">
        <w:rPr>
          <w:rFonts w:ascii="Inter" w:hAnsi="Inter" w:cs="Arial"/>
        </w:rPr>
        <w:t xml:space="preserve">1m in 2026/27.  As has been reported through the 2025/26 Quarterly budget monitoring reports, the Authority’s costs of borrowing are forecast to increase significantly as the under-borrowed position reverses.  </w:t>
      </w:r>
    </w:p>
    <w:p w14:paraId="45833579" w14:textId="77777777" w:rsidR="00D06EAE" w:rsidRPr="009D7A02" w:rsidRDefault="00D06EAE" w:rsidP="00BE2502">
      <w:pPr>
        <w:pStyle w:val="ListParagraph"/>
        <w:spacing w:line="276" w:lineRule="auto"/>
        <w:ind w:left="567" w:right="-1" w:hanging="567"/>
        <w:rPr>
          <w:rFonts w:ascii="Inter" w:hAnsi="Inter" w:cs="Arial"/>
          <w:szCs w:val="22"/>
        </w:rPr>
      </w:pPr>
    </w:p>
    <w:p w14:paraId="33C82DB8" w14:textId="029D05D4" w:rsidR="00A55302" w:rsidRPr="009B1468" w:rsidRDefault="00D06EAE" w:rsidP="41590B60">
      <w:pPr>
        <w:spacing w:line="276" w:lineRule="auto"/>
        <w:ind w:right="-1"/>
        <w:rPr>
          <w:rFonts w:ascii="Inter" w:hAnsi="Inter" w:cs="Arial"/>
          <w:b/>
          <w:bCs/>
        </w:rPr>
      </w:pPr>
      <w:r w:rsidRPr="41590B60">
        <w:rPr>
          <w:rFonts w:ascii="Inter" w:hAnsi="Inter" w:cs="Arial"/>
          <w:b/>
          <w:bCs/>
        </w:rPr>
        <w:t>Interest receivable (</w:t>
      </w:r>
      <w:r w:rsidRPr="009B1468">
        <w:rPr>
          <w:rFonts w:ascii="Inter" w:hAnsi="Inter" w:cs="Arial"/>
          <w:b/>
          <w:bCs/>
        </w:rPr>
        <w:t>Treasury Management)</w:t>
      </w:r>
    </w:p>
    <w:p w14:paraId="0D9D3B39" w14:textId="77777777" w:rsidR="00D06EAE" w:rsidRPr="009D7A02" w:rsidRDefault="00D06EAE" w:rsidP="2DFE4DF5">
      <w:pPr>
        <w:pStyle w:val="ListParagraph"/>
        <w:numPr>
          <w:ilvl w:val="0"/>
          <w:numId w:val="3"/>
        </w:numPr>
        <w:spacing w:line="276" w:lineRule="auto"/>
        <w:ind w:left="567" w:right="-1" w:hanging="567"/>
        <w:rPr>
          <w:rFonts w:ascii="Inter" w:hAnsi="Inter" w:cs="Arial"/>
        </w:rPr>
      </w:pPr>
      <w:r w:rsidRPr="2DFE4DF5">
        <w:rPr>
          <w:rFonts w:ascii="Inter" w:hAnsi="Inter" w:cs="Arial"/>
        </w:rPr>
        <w:t>A reduction of £0.250m on the 2025/26 budget to reflect the cash balances available for investment and the forecast reduction in interest rates arising from the Bank of England’s decision to lower the base rate.</w:t>
      </w:r>
    </w:p>
    <w:p w14:paraId="63F5A9A9" w14:textId="77777777" w:rsidR="00D06EAE" w:rsidRPr="009D7A02" w:rsidRDefault="00D06EAE" w:rsidP="00BE2502">
      <w:pPr>
        <w:pStyle w:val="ListParagraph"/>
        <w:spacing w:line="276" w:lineRule="auto"/>
        <w:ind w:left="567" w:right="-1" w:hanging="567"/>
        <w:rPr>
          <w:rFonts w:ascii="Inter" w:hAnsi="Inter" w:cs="Arial"/>
          <w:szCs w:val="22"/>
        </w:rPr>
      </w:pPr>
    </w:p>
    <w:p w14:paraId="4631AFE7" w14:textId="262D34A2" w:rsidR="00A55302" w:rsidRPr="00A55302" w:rsidRDefault="00D06EAE" w:rsidP="41590B60">
      <w:pPr>
        <w:spacing w:line="276" w:lineRule="auto"/>
        <w:ind w:left="567" w:right="-1" w:hanging="567"/>
        <w:rPr>
          <w:rFonts w:ascii="Inter" w:hAnsi="Inter" w:cs="Arial"/>
          <w:b/>
          <w:bCs/>
        </w:rPr>
      </w:pPr>
      <w:r w:rsidRPr="41590B60">
        <w:rPr>
          <w:rFonts w:ascii="Inter" w:hAnsi="Inter" w:cs="Arial"/>
          <w:b/>
          <w:bCs/>
        </w:rPr>
        <w:t>Interest receivable (Lending)</w:t>
      </w:r>
    </w:p>
    <w:p w14:paraId="14B8C8EB" w14:textId="596A0510" w:rsidR="00D06EAE" w:rsidRPr="009D7A02" w:rsidRDefault="00D06EAE" w:rsidP="2DFE4DF5">
      <w:pPr>
        <w:pStyle w:val="ListParagraph"/>
        <w:numPr>
          <w:ilvl w:val="0"/>
          <w:numId w:val="3"/>
        </w:numPr>
        <w:spacing w:line="276" w:lineRule="auto"/>
        <w:ind w:left="567" w:right="-1" w:hanging="567"/>
        <w:rPr>
          <w:rFonts w:ascii="Inter" w:hAnsi="Inter" w:cs="Arial"/>
        </w:rPr>
      </w:pPr>
      <w:r w:rsidRPr="2DFE4DF5">
        <w:rPr>
          <w:rFonts w:ascii="Inter" w:hAnsi="Inter" w:cs="Arial"/>
        </w:rPr>
        <w:t>The interest receivable budget has increased by £8.</w:t>
      </w:r>
      <w:r w:rsidR="00D74F2B" w:rsidRPr="2DFE4DF5">
        <w:rPr>
          <w:rFonts w:ascii="Inter" w:hAnsi="Inter" w:cs="Arial"/>
        </w:rPr>
        <w:t>651</w:t>
      </w:r>
      <w:r w:rsidRPr="2DFE4DF5">
        <w:rPr>
          <w:rFonts w:ascii="Inter" w:hAnsi="Inter" w:cs="Arial"/>
        </w:rPr>
        <w:t xml:space="preserve">m to £20.678m.   Interest receivable over the MTFP period has been calculated using the established loan agreements in place.  With the exception of the ‘purchase loan’ and the ‘Quay’ STDC loan have been consolidated to an agreed position where interest (at the agreed rate within the loan </w:t>
      </w:r>
      <w:r w:rsidR="00EC1E33" w:rsidRPr="2DFE4DF5">
        <w:rPr>
          <w:rFonts w:ascii="Inter" w:hAnsi="Inter" w:cs="Arial"/>
        </w:rPr>
        <w:t>agreement)</w:t>
      </w:r>
      <w:r w:rsidRPr="2DFE4DF5">
        <w:rPr>
          <w:rFonts w:ascii="Inter" w:hAnsi="Inter" w:cs="Arial"/>
        </w:rPr>
        <w:t xml:space="preserve"> is charged on a ‘one year plus one day’ arrangement where interest becomes chargeable a year and day following the advance of the loan.  This has resulted in an increase of interest receivable from 2025/26 to 2026/27 following which it remains constant over the MTFP period. </w:t>
      </w:r>
    </w:p>
    <w:p w14:paraId="10009BFE" w14:textId="77777777" w:rsidR="00D06EAE" w:rsidRPr="009D7A02" w:rsidRDefault="00D06EAE" w:rsidP="00BE2502">
      <w:pPr>
        <w:pStyle w:val="ListParagraph"/>
        <w:spacing w:line="276" w:lineRule="auto"/>
        <w:ind w:left="567" w:right="-1" w:hanging="567"/>
        <w:rPr>
          <w:rFonts w:ascii="Inter" w:hAnsi="Inter" w:cs="Arial"/>
          <w:szCs w:val="22"/>
        </w:rPr>
      </w:pPr>
    </w:p>
    <w:p w14:paraId="026D10BB" w14:textId="103A4AC9" w:rsidR="00D06EAE" w:rsidRPr="009D7A02" w:rsidRDefault="00D06EAE" w:rsidP="2DFE4DF5">
      <w:pPr>
        <w:pStyle w:val="ListParagraph"/>
        <w:numPr>
          <w:ilvl w:val="0"/>
          <w:numId w:val="3"/>
        </w:numPr>
        <w:spacing w:line="276" w:lineRule="auto"/>
        <w:ind w:left="567" w:right="-1" w:hanging="567"/>
        <w:rPr>
          <w:rFonts w:ascii="Inter" w:hAnsi="Inter" w:cs="Arial"/>
        </w:rPr>
      </w:pPr>
      <w:r w:rsidRPr="2DFE4DF5">
        <w:rPr>
          <w:rFonts w:ascii="Inter" w:hAnsi="Inter" w:cs="Arial"/>
        </w:rPr>
        <w:t>Interest receivable on the Goosepool/airport loans are now being budgeted for whereas no provision was made in 2025/26.  In addition, a corresponding prudent provision for ‘bad and doubtful debt’ h</w:t>
      </w:r>
      <w:r w:rsidR="58B413F7" w:rsidRPr="2DFE4DF5">
        <w:rPr>
          <w:rFonts w:ascii="Inter" w:hAnsi="Inter" w:cs="Arial"/>
        </w:rPr>
        <w:t>as</w:t>
      </w:r>
      <w:r w:rsidRPr="2DFE4DF5">
        <w:rPr>
          <w:rFonts w:ascii="Inter" w:hAnsi="Inter" w:cs="Arial"/>
        </w:rPr>
        <w:t xml:space="preserve"> now been budgeted for and the </w:t>
      </w:r>
      <w:r w:rsidR="00094965" w:rsidRPr="2DFE4DF5">
        <w:rPr>
          <w:rFonts w:ascii="Inter" w:hAnsi="Inter" w:cs="Arial"/>
        </w:rPr>
        <w:t>MTFP</w:t>
      </w:r>
      <w:r w:rsidRPr="2DFE4DF5">
        <w:rPr>
          <w:rFonts w:ascii="Inter" w:hAnsi="Inter" w:cs="Arial"/>
        </w:rPr>
        <w:t xml:space="preserve"> forecasts are set out in the Treasury Management section below.</w:t>
      </w:r>
    </w:p>
    <w:p w14:paraId="2D2784EA" w14:textId="77777777" w:rsidR="00D06EAE" w:rsidRPr="009D7A02" w:rsidRDefault="00D06EAE" w:rsidP="00BE2502">
      <w:pPr>
        <w:pStyle w:val="ListParagraph"/>
        <w:spacing w:line="276" w:lineRule="auto"/>
        <w:ind w:left="567" w:right="-1" w:hanging="567"/>
        <w:rPr>
          <w:rFonts w:ascii="Inter" w:hAnsi="Inter" w:cs="Arial"/>
          <w:szCs w:val="22"/>
        </w:rPr>
      </w:pPr>
    </w:p>
    <w:p w14:paraId="2CB87FFE" w14:textId="3C64F154" w:rsidR="00A55302" w:rsidRPr="00A55302" w:rsidRDefault="00D06EAE" w:rsidP="41590B60">
      <w:pPr>
        <w:spacing w:line="276" w:lineRule="auto"/>
        <w:ind w:left="567" w:right="-1" w:hanging="567"/>
        <w:rPr>
          <w:rFonts w:ascii="Inter" w:hAnsi="Inter" w:cs="Arial"/>
          <w:b/>
          <w:bCs/>
        </w:rPr>
      </w:pPr>
      <w:r w:rsidRPr="41590B60">
        <w:rPr>
          <w:rFonts w:ascii="Inter" w:hAnsi="Inter" w:cs="Arial"/>
          <w:b/>
          <w:bCs/>
        </w:rPr>
        <w:t>Provision for bad and doubtful debts</w:t>
      </w:r>
    </w:p>
    <w:p w14:paraId="34283AE1" w14:textId="37C4F613" w:rsidR="00D06EAE" w:rsidRPr="009D7A02" w:rsidRDefault="00D06EAE" w:rsidP="2DFE4DF5">
      <w:pPr>
        <w:pStyle w:val="ListParagraph"/>
        <w:numPr>
          <w:ilvl w:val="0"/>
          <w:numId w:val="3"/>
        </w:numPr>
        <w:spacing w:line="276" w:lineRule="auto"/>
        <w:ind w:left="567" w:right="-1" w:hanging="567"/>
        <w:rPr>
          <w:rFonts w:ascii="Inter" w:hAnsi="Inter" w:cs="Arial"/>
        </w:rPr>
      </w:pPr>
      <w:r w:rsidRPr="2DFE4DF5">
        <w:rPr>
          <w:rFonts w:ascii="Inter" w:hAnsi="Inter" w:cs="Arial"/>
        </w:rPr>
        <w:lastRenderedPageBreak/>
        <w:t>A budget of £6.189m has been created to provide for a provision for bad and doubtful</w:t>
      </w:r>
      <w:r w:rsidR="2743B04D" w:rsidRPr="2DFE4DF5">
        <w:rPr>
          <w:rFonts w:ascii="Inter" w:hAnsi="Inter" w:cs="Arial"/>
        </w:rPr>
        <w:t xml:space="preserve"> debt</w:t>
      </w:r>
      <w:r w:rsidRPr="2DFE4DF5">
        <w:rPr>
          <w:rFonts w:ascii="Inter" w:hAnsi="Inter" w:cs="Arial"/>
        </w:rPr>
        <w:t xml:space="preserve"> which offsets the interest receivable budget now included on the Goosepool/airport loans.</w:t>
      </w:r>
    </w:p>
    <w:p w14:paraId="06679EC9" w14:textId="77777777" w:rsidR="00D06EAE" w:rsidRPr="009D7A02" w:rsidRDefault="00D06EAE" w:rsidP="00BE2502">
      <w:pPr>
        <w:pStyle w:val="ListParagraph"/>
        <w:spacing w:line="276" w:lineRule="auto"/>
        <w:ind w:left="567" w:right="-1" w:hanging="567"/>
        <w:rPr>
          <w:rFonts w:ascii="Inter" w:hAnsi="Inter" w:cs="Arial"/>
          <w:szCs w:val="22"/>
        </w:rPr>
      </w:pPr>
    </w:p>
    <w:p w14:paraId="50433EB7" w14:textId="77777777" w:rsidR="00D06EAE" w:rsidRDefault="00D06EAE" w:rsidP="2DFE4DF5">
      <w:pPr>
        <w:pStyle w:val="ListParagraph"/>
        <w:numPr>
          <w:ilvl w:val="0"/>
          <w:numId w:val="3"/>
        </w:numPr>
        <w:spacing w:line="276" w:lineRule="auto"/>
        <w:ind w:left="567" w:right="-1" w:hanging="567"/>
        <w:rPr>
          <w:rFonts w:ascii="Inter" w:hAnsi="Inter" w:cs="Arial"/>
        </w:rPr>
      </w:pPr>
      <w:r w:rsidRPr="2DFE4DF5">
        <w:rPr>
          <w:rFonts w:ascii="Inter" w:hAnsi="Inter" w:cs="Arial"/>
        </w:rPr>
        <w:t>The table below sets out a summary of the key changes from the £5.772m deficit (funded by drawdown from reserves) in 2025/26 to the balanced budget position for 2026/27.</w:t>
      </w:r>
    </w:p>
    <w:p w14:paraId="50E2999D" w14:textId="7F17EA2A" w:rsidR="41590B60" w:rsidRDefault="41590B60" w:rsidP="41590B60">
      <w:pPr>
        <w:pStyle w:val="ListParagraph"/>
        <w:spacing w:line="276" w:lineRule="auto"/>
        <w:ind w:left="567" w:right="-1" w:hanging="567"/>
        <w:rPr>
          <w:rFonts w:ascii="Inter" w:hAnsi="Inter" w:cs="Arial"/>
        </w:rPr>
      </w:pPr>
    </w:p>
    <w:p w14:paraId="20ACD680" w14:textId="276E09D7" w:rsidR="00A55302" w:rsidRPr="009D7A02" w:rsidRDefault="00D06EAE" w:rsidP="41590B60">
      <w:pPr>
        <w:spacing w:line="276" w:lineRule="auto"/>
        <w:ind w:left="567" w:right="-1" w:hanging="567"/>
        <w:rPr>
          <w:rFonts w:ascii="Inter" w:hAnsi="Inter" w:cs="Arial"/>
          <w:b/>
          <w:bCs/>
        </w:rPr>
      </w:pPr>
      <w:r w:rsidRPr="41590B60">
        <w:rPr>
          <w:rFonts w:ascii="Inter" w:hAnsi="Inter" w:cs="Arial"/>
          <w:b/>
          <w:bCs/>
        </w:rPr>
        <w:t>Mayoral elections</w:t>
      </w:r>
    </w:p>
    <w:p w14:paraId="020B8EEA" w14:textId="5ADB02AE" w:rsidR="00D06EAE" w:rsidRPr="009D7A02" w:rsidRDefault="00D06EAE" w:rsidP="2DFE4DF5">
      <w:pPr>
        <w:pStyle w:val="ListParagraph"/>
        <w:numPr>
          <w:ilvl w:val="0"/>
          <w:numId w:val="3"/>
        </w:numPr>
        <w:spacing w:line="276" w:lineRule="auto"/>
        <w:ind w:left="567" w:right="-1" w:hanging="567"/>
        <w:rPr>
          <w:rFonts w:ascii="Inter" w:hAnsi="Inter" w:cs="Arial"/>
        </w:rPr>
      </w:pPr>
      <w:r w:rsidRPr="2DFE4DF5">
        <w:rPr>
          <w:rFonts w:ascii="Inter" w:hAnsi="Inter" w:cs="Arial"/>
        </w:rPr>
        <w:t xml:space="preserve">The Combined Authority is required under law to pay for the cost of the Mayoral Elections.  In prior years, no budgetary provision has been included to pay for these costs.  The next election is in </w:t>
      </w:r>
      <w:r w:rsidR="00927258" w:rsidRPr="2DFE4DF5">
        <w:rPr>
          <w:rFonts w:ascii="Inter" w:hAnsi="Inter" w:cs="Arial"/>
        </w:rPr>
        <w:t>May 2028</w:t>
      </w:r>
      <w:r w:rsidR="001B799F" w:rsidRPr="2DFE4DF5">
        <w:rPr>
          <w:rFonts w:ascii="Inter" w:hAnsi="Inter" w:cs="Arial"/>
        </w:rPr>
        <w:t xml:space="preserve">. </w:t>
      </w:r>
      <w:r w:rsidRPr="2DFE4DF5">
        <w:rPr>
          <w:rFonts w:ascii="Inter" w:hAnsi="Inter" w:cs="Arial"/>
        </w:rPr>
        <w:t>Therefore, a</w:t>
      </w:r>
      <w:r w:rsidR="00927258" w:rsidRPr="2DFE4DF5">
        <w:rPr>
          <w:rFonts w:ascii="Inter" w:hAnsi="Inter" w:cs="Arial"/>
        </w:rPr>
        <w:t xml:space="preserve">n annual </w:t>
      </w:r>
      <w:r w:rsidR="001B799F" w:rsidRPr="2DFE4DF5">
        <w:rPr>
          <w:rFonts w:ascii="Inter" w:hAnsi="Inter" w:cs="Arial"/>
        </w:rPr>
        <w:t>b</w:t>
      </w:r>
      <w:r w:rsidR="00927258" w:rsidRPr="2DFE4DF5">
        <w:rPr>
          <w:rFonts w:ascii="Inter" w:hAnsi="Inter" w:cs="Arial"/>
        </w:rPr>
        <w:t>udget</w:t>
      </w:r>
      <w:r w:rsidRPr="2DFE4DF5">
        <w:rPr>
          <w:rFonts w:ascii="Inter" w:hAnsi="Inter" w:cs="Arial"/>
        </w:rPr>
        <w:t xml:space="preserve"> </w:t>
      </w:r>
      <w:r w:rsidR="457671E9" w:rsidRPr="2DFE4DF5">
        <w:rPr>
          <w:rFonts w:ascii="Inter" w:hAnsi="Inter" w:cs="Arial"/>
        </w:rPr>
        <w:t xml:space="preserve">of </w:t>
      </w:r>
      <w:r w:rsidRPr="2DFE4DF5">
        <w:rPr>
          <w:rFonts w:ascii="Inter" w:hAnsi="Inter" w:cs="Arial"/>
        </w:rPr>
        <w:t>£0.5</w:t>
      </w:r>
      <w:r w:rsidR="583B1F55" w:rsidRPr="2DFE4DF5">
        <w:rPr>
          <w:rFonts w:ascii="Inter" w:hAnsi="Inter" w:cs="Arial"/>
        </w:rPr>
        <w:t>00</w:t>
      </w:r>
      <w:r w:rsidRPr="2DFE4DF5">
        <w:rPr>
          <w:rFonts w:ascii="Inter" w:hAnsi="Inter" w:cs="Arial"/>
        </w:rPr>
        <w:t>m has been set aside which will be offset by a transfer of these funds to an earmarked reserve for this purpose.</w:t>
      </w:r>
    </w:p>
    <w:p w14:paraId="036C6C49" w14:textId="1FDA00B1" w:rsidR="64D2AD41" w:rsidRPr="009D7A02" w:rsidRDefault="64D2AD41" w:rsidP="00BE2502">
      <w:pPr>
        <w:pStyle w:val="ListParagraph"/>
        <w:spacing w:line="276" w:lineRule="auto"/>
        <w:ind w:left="567" w:right="-1" w:hanging="567"/>
        <w:rPr>
          <w:rFonts w:ascii="Inter" w:hAnsi="Inter" w:cs="Arial"/>
        </w:rPr>
      </w:pPr>
    </w:p>
    <w:p w14:paraId="1501E40D" w14:textId="01A7856B" w:rsidR="00A55302" w:rsidRPr="009D7A02" w:rsidRDefault="58859710" w:rsidP="00BE2502">
      <w:pPr>
        <w:spacing w:line="276" w:lineRule="auto"/>
        <w:ind w:left="567" w:right="-1" w:hanging="567"/>
        <w:rPr>
          <w:rFonts w:ascii="Inter" w:hAnsi="Inter" w:cs="Arial"/>
          <w:b/>
          <w:bCs/>
        </w:rPr>
      </w:pPr>
      <w:r w:rsidRPr="41590B60">
        <w:rPr>
          <w:rFonts w:ascii="Inter" w:hAnsi="Inter" w:cs="Arial"/>
          <w:b/>
          <w:bCs/>
        </w:rPr>
        <w:t>Contribution to Reserves</w:t>
      </w:r>
    </w:p>
    <w:p w14:paraId="7578794B" w14:textId="31696344" w:rsidR="71953408" w:rsidRPr="00A55302" w:rsidRDefault="71953408" w:rsidP="2DFE4DF5">
      <w:pPr>
        <w:pStyle w:val="ListParagraph"/>
        <w:numPr>
          <w:ilvl w:val="0"/>
          <w:numId w:val="3"/>
        </w:numPr>
        <w:spacing w:line="276" w:lineRule="auto"/>
        <w:ind w:left="567" w:right="-1" w:hanging="567"/>
        <w:rPr>
          <w:rFonts w:ascii="Inter" w:hAnsi="Inter" w:cs="Arial"/>
        </w:rPr>
      </w:pPr>
      <w:r w:rsidRPr="2DFE4DF5">
        <w:rPr>
          <w:rFonts w:ascii="Inter" w:hAnsi="Inter" w:cs="Arial"/>
        </w:rPr>
        <w:t>The contribution to reserves of £4.</w:t>
      </w:r>
      <w:r w:rsidR="007244BE" w:rsidRPr="2DFE4DF5">
        <w:rPr>
          <w:rFonts w:ascii="Inter" w:hAnsi="Inter" w:cs="Arial"/>
        </w:rPr>
        <w:t>14</w:t>
      </w:r>
      <w:r w:rsidR="00BB784A" w:rsidRPr="2DFE4DF5">
        <w:rPr>
          <w:rFonts w:ascii="Inter" w:hAnsi="Inter" w:cs="Arial"/>
        </w:rPr>
        <w:t>9</w:t>
      </w:r>
      <w:r w:rsidRPr="2DFE4DF5">
        <w:rPr>
          <w:rFonts w:ascii="Inter" w:hAnsi="Inter" w:cs="Arial"/>
        </w:rPr>
        <w:t>m comprises £0.5</w:t>
      </w:r>
      <w:r w:rsidR="0EA65CBC" w:rsidRPr="2DFE4DF5">
        <w:rPr>
          <w:rFonts w:ascii="Inter" w:hAnsi="Inter" w:cs="Arial"/>
        </w:rPr>
        <w:t>00</w:t>
      </w:r>
      <w:r w:rsidRPr="2DFE4DF5">
        <w:rPr>
          <w:rFonts w:ascii="Inter" w:hAnsi="Inter" w:cs="Arial"/>
        </w:rPr>
        <w:t>m proposed transfer to a new Mayoral Election reserve, £1.02</w:t>
      </w:r>
      <w:r w:rsidR="51921DE3" w:rsidRPr="2DFE4DF5">
        <w:rPr>
          <w:rFonts w:ascii="Inter" w:hAnsi="Inter" w:cs="Arial"/>
        </w:rPr>
        <w:t>8m to a ring-fenced lease wrap reserve and the balance represents the residual surplus to be transferred to an earmarked reserve</w:t>
      </w:r>
      <w:r w:rsidR="23374CFA" w:rsidRPr="2DFE4DF5">
        <w:rPr>
          <w:rFonts w:ascii="Inter" w:hAnsi="Inter" w:cs="Arial"/>
        </w:rPr>
        <w:t xml:space="preserve"> pending the finalisation on of the budget and conclusion of any outstanding matters.</w:t>
      </w:r>
    </w:p>
    <w:p w14:paraId="01019E48" w14:textId="1E01FE34" w:rsidR="7D5E4F88" w:rsidRDefault="7D5E4F88" w:rsidP="6EF1387B">
      <w:pPr>
        <w:pStyle w:val="ListParagraph"/>
        <w:spacing w:line="276" w:lineRule="auto"/>
        <w:ind w:left="567" w:right="-1" w:hanging="567"/>
        <w:rPr>
          <w:rFonts w:ascii="Inter" w:hAnsi="Inter" w:cs="Arial"/>
        </w:rPr>
      </w:pPr>
    </w:p>
    <w:p w14:paraId="2226D23F" w14:textId="77777777" w:rsidR="591B1822" w:rsidRDefault="591B1822" w:rsidP="6EF1387B">
      <w:pPr>
        <w:pStyle w:val="ListParagraph"/>
        <w:spacing w:line="276" w:lineRule="auto"/>
        <w:ind w:left="0"/>
        <w:rPr>
          <w:rFonts w:ascii="Inter" w:hAnsi="Inter" w:cs="Arial"/>
          <w:sz w:val="24"/>
        </w:rPr>
      </w:pPr>
      <w:r w:rsidRPr="6EF1387B">
        <w:rPr>
          <w:rFonts w:ascii="Inter" w:hAnsi="Inter" w:cs="Arial"/>
          <w:b/>
          <w:bCs/>
          <w:sz w:val="24"/>
        </w:rPr>
        <w:t>KEY BUDGET MOVEMENTS FROM 2025/26 TO 2026/27</w:t>
      </w:r>
    </w:p>
    <w:p w14:paraId="0C9B6CE2" w14:textId="202355DD" w:rsidR="6EF1387B" w:rsidRDefault="6EF1387B" w:rsidP="6EF1387B">
      <w:pPr>
        <w:spacing w:line="276" w:lineRule="auto"/>
        <w:ind w:left="1440"/>
        <w:rPr>
          <w:rFonts w:ascii="Inter" w:hAnsi="Inter" w:cs="Arial"/>
        </w:rPr>
      </w:pPr>
    </w:p>
    <w:p w14:paraId="00DAA6F4" w14:textId="43999B22" w:rsidR="591B1822" w:rsidRDefault="591B1822" w:rsidP="6EF1387B">
      <w:pPr>
        <w:pStyle w:val="ListParagraph"/>
        <w:spacing w:line="276" w:lineRule="auto"/>
        <w:ind w:left="567"/>
        <w:rPr>
          <w:rFonts w:ascii="Inter" w:hAnsi="Inter" w:cs="Arial"/>
        </w:rPr>
      </w:pPr>
      <w:r w:rsidRPr="2DFE4DF5">
        <w:rPr>
          <w:rFonts w:ascii="Inter" w:hAnsi="Inter" w:cs="Arial"/>
        </w:rPr>
        <w:t>The table below summarises significant budget changes between 2025/26 and</w:t>
      </w:r>
      <w:r w:rsidR="22A00D8F" w:rsidRPr="2DFE4DF5">
        <w:rPr>
          <w:rFonts w:ascii="Inter" w:hAnsi="Inter" w:cs="Arial"/>
        </w:rPr>
        <w:t xml:space="preserve"> the</w:t>
      </w:r>
      <w:r w:rsidRPr="2DFE4DF5">
        <w:rPr>
          <w:rFonts w:ascii="Inter" w:hAnsi="Inter" w:cs="Arial"/>
        </w:rPr>
        <w:t xml:space="preserve"> proposed 2026/27 revenue budget.</w:t>
      </w:r>
    </w:p>
    <w:p w14:paraId="2DAD8591" w14:textId="77777777" w:rsidR="6EF1387B" w:rsidRDefault="6EF1387B" w:rsidP="6EF1387B">
      <w:pPr>
        <w:pStyle w:val="ListParagraph"/>
        <w:spacing w:line="276" w:lineRule="auto"/>
        <w:ind w:left="567"/>
        <w:rPr>
          <w:rFonts w:ascii="Inter" w:hAnsi="Inter" w:cs="Arial"/>
        </w:rPr>
      </w:pPr>
    </w:p>
    <w:p w14:paraId="1FA5B5AB" w14:textId="75F43344" w:rsidR="591B1822" w:rsidRDefault="591B1822" w:rsidP="6EF1387B">
      <w:pPr>
        <w:spacing w:line="276" w:lineRule="auto"/>
        <w:ind w:left="567"/>
        <w:jc w:val="center"/>
        <w:rPr>
          <w:rFonts w:ascii="Inter" w:hAnsi="Inter" w:cs="Arial"/>
        </w:rPr>
      </w:pPr>
      <w:r w:rsidRPr="7DC21327">
        <w:rPr>
          <w:rFonts w:ascii="Inter" w:hAnsi="Inter" w:cs="Arial"/>
          <w:b/>
          <w:bCs/>
        </w:rPr>
        <w:t>Table 8: Summary of Budget revisions 202</w:t>
      </w:r>
      <w:r w:rsidR="42CBC156" w:rsidRPr="7DC21327">
        <w:rPr>
          <w:rFonts w:ascii="Inter" w:hAnsi="Inter" w:cs="Arial"/>
          <w:b/>
          <w:bCs/>
        </w:rPr>
        <w:t>5</w:t>
      </w:r>
      <w:r w:rsidRPr="7DC21327">
        <w:rPr>
          <w:rFonts w:ascii="Inter" w:hAnsi="Inter" w:cs="Arial"/>
          <w:b/>
          <w:bCs/>
        </w:rPr>
        <w:t>/26 to 2026/27 (by activity)</w:t>
      </w:r>
    </w:p>
    <w:p w14:paraId="7F3B77A4" w14:textId="20ECF053" w:rsidR="1D598283" w:rsidRDefault="1D598283" w:rsidP="6EF1387B">
      <w:pPr>
        <w:spacing w:line="276" w:lineRule="auto"/>
        <w:rPr>
          <w:rFonts w:ascii="Inter" w:hAnsi="Inter" w:cs="Arial"/>
        </w:rPr>
      </w:pPr>
    </w:p>
    <w:p w14:paraId="5954F094" w14:textId="77777777" w:rsidR="009B5404" w:rsidRDefault="009B5404">
      <w:pPr>
        <w:rPr>
          <w:rFonts w:ascii="Inter" w:hAnsi="Inter" w:cs="Arial"/>
        </w:rPr>
      </w:pPr>
    </w:p>
    <w:tbl>
      <w:tblPr>
        <w:tblW w:w="0" w:type="auto"/>
        <w:tblInd w:w="1357" w:type="dxa"/>
        <w:tblLook w:val="06A0" w:firstRow="1" w:lastRow="0" w:firstColumn="1" w:lastColumn="0" w:noHBand="1" w:noVBand="1"/>
      </w:tblPr>
      <w:tblGrid>
        <w:gridCol w:w="5149"/>
        <w:gridCol w:w="1701"/>
      </w:tblGrid>
      <w:tr w:rsidR="5827C86D" w14:paraId="0A0DCB5B" w14:textId="77777777" w:rsidTr="00EF45CA">
        <w:trPr>
          <w:trHeight w:val="300"/>
        </w:trPr>
        <w:tc>
          <w:tcPr>
            <w:tcW w:w="5149" w:type="dxa"/>
            <w:tcBorders>
              <w:top w:val="single" w:sz="12" w:space="0" w:color="auto"/>
              <w:left w:val="single" w:sz="12" w:space="0" w:color="auto"/>
              <w:bottom w:val="nil"/>
              <w:right w:val="single" w:sz="12" w:space="0" w:color="auto"/>
            </w:tcBorders>
            <w:shd w:val="clear" w:color="auto" w:fill="E8E8E8"/>
            <w:vAlign w:val="bottom"/>
          </w:tcPr>
          <w:p w14:paraId="4E604A4D" w14:textId="7AE82A51" w:rsidR="5827C86D" w:rsidRDefault="5827C86D" w:rsidP="5827C86D">
            <w:pPr>
              <w:rPr>
                <w:rFonts w:eastAsia="Inter Light" w:cs="Inter Light"/>
                <w:b/>
                <w:bCs/>
                <w:sz w:val="20"/>
                <w:szCs w:val="20"/>
              </w:rPr>
            </w:pPr>
            <w:r w:rsidRPr="5827C86D">
              <w:rPr>
                <w:rFonts w:eastAsia="Inter Light" w:cs="Inter Light"/>
                <w:b/>
                <w:bCs/>
                <w:sz w:val="20"/>
                <w:szCs w:val="20"/>
              </w:rPr>
              <w:t xml:space="preserve">Summary of Budget </w:t>
            </w:r>
            <w:r w:rsidR="3C45461F" w:rsidRPr="5827C86D">
              <w:rPr>
                <w:rFonts w:eastAsia="Inter Light" w:cs="Inter Light"/>
                <w:b/>
                <w:bCs/>
                <w:sz w:val="20"/>
                <w:szCs w:val="20"/>
              </w:rPr>
              <w:t>Revisions</w:t>
            </w:r>
          </w:p>
        </w:tc>
        <w:tc>
          <w:tcPr>
            <w:tcW w:w="1701" w:type="dxa"/>
            <w:tcBorders>
              <w:top w:val="single" w:sz="12" w:space="0" w:color="auto"/>
              <w:left w:val="single" w:sz="12" w:space="0" w:color="auto"/>
              <w:bottom w:val="nil"/>
              <w:right w:val="single" w:sz="12" w:space="0" w:color="auto"/>
            </w:tcBorders>
            <w:shd w:val="clear" w:color="auto" w:fill="E8E8E8"/>
            <w:vAlign w:val="center"/>
          </w:tcPr>
          <w:p w14:paraId="00E162E8" w14:textId="59E2FA90" w:rsidR="5827C86D" w:rsidRDefault="5827C86D" w:rsidP="5827C86D">
            <w:pPr>
              <w:jc w:val="center"/>
              <w:rPr>
                <w:rFonts w:eastAsia="Inter Light" w:cs="Inter Light"/>
                <w:b/>
                <w:bCs/>
                <w:sz w:val="20"/>
                <w:szCs w:val="20"/>
              </w:rPr>
            </w:pPr>
            <w:r w:rsidRPr="5827C86D">
              <w:rPr>
                <w:rFonts w:eastAsia="Inter Light" w:cs="Inter Light"/>
                <w:b/>
                <w:bCs/>
                <w:sz w:val="20"/>
                <w:szCs w:val="20"/>
              </w:rPr>
              <w:t xml:space="preserve">Budget </w:t>
            </w:r>
            <w:r w:rsidR="480C756C" w:rsidRPr="5827C86D">
              <w:rPr>
                <w:rFonts w:eastAsia="Inter Light" w:cs="Inter Light"/>
                <w:b/>
                <w:bCs/>
                <w:sz w:val="20"/>
                <w:szCs w:val="20"/>
              </w:rPr>
              <w:t>Revisions</w:t>
            </w:r>
          </w:p>
        </w:tc>
      </w:tr>
      <w:tr w:rsidR="5827C86D" w14:paraId="3551C6D2" w14:textId="77777777" w:rsidTr="00EF45CA">
        <w:trPr>
          <w:trHeight w:val="315"/>
        </w:trPr>
        <w:tc>
          <w:tcPr>
            <w:tcW w:w="5149" w:type="dxa"/>
            <w:tcBorders>
              <w:top w:val="nil"/>
              <w:left w:val="single" w:sz="12" w:space="0" w:color="auto"/>
              <w:bottom w:val="single" w:sz="12" w:space="0" w:color="auto"/>
              <w:right w:val="single" w:sz="12" w:space="0" w:color="auto"/>
            </w:tcBorders>
            <w:shd w:val="clear" w:color="auto" w:fill="E8E8E8"/>
            <w:vAlign w:val="bottom"/>
          </w:tcPr>
          <w:p w14:paraId="4322C4C6" w14:textId="461EC475" w:rsidR="5827C86D" w:rsidRDefault="5827C86D" w:rsidP="5827C86D">
            <w:r w:rsidRPr="5827C86D">
              <w:rPr>
                <w:rFonts w:eastAsia="Inter Light" w:cs="Inter Light"/>
                <w:b/>
                <w:bCs/>
                <w:sz w:val="20"/>
                <w:szCs w:val="20"/>
              </w:rPr>
              <w:t xml:space="preserve"> </w:t>
            </w:r>
          </w:p>
        </w:tc>
        <w:tc>
          <w:tcPr>
            <w:tcW w:w="1701" w:type="dxa"/>
            <w:tcBorders>
              <w:top w:val="nil"/>
              <w:left w:val="single" w:sz="12" w:space="0" w:color="auto"/>
              <w:bottom w:val="single" w:sz="12" w:space="0" w:color="auto"/>
              <w:right w:val="single" w:sz="12" w:space="0" w:color="auto"/>
            </w:tcBorders>
            <w:shd w:val="clear" w:color="auto" w:fill="E8E8E8"/>
            <w:vAlign w:val="center"/>
          </w:tcPr>
          <w:p w14:paraId="50221601" w14:textId="7FCC61BD" w:rsidR="5827C86D" w:rsidRDefault="5827C86D" w:rsidP="5827C86D">
            <w:pPr>
              <w:jc w:val="center"/>
            </w:pPr>
            <w:r w:rsidRPr="5827C86D">
              <w:rPr>
                <w:rFonts w:eastAsia="Inter Light" w:cs="Inter Light"/>
                <w:b/>
                <w:bCs/>
                <w:sz w:val="20"/>
                <w:szCs w:val="20"/>
              </w:rPr>
              <w:t>£'000</w:t>
            </w:r>
          </w:p>
        </w:tc>
      </w:tr>
      <w:tr w:rsidR="5827C86D" w14:paraId="0D325965" w14:textId="77777777" w:rsidTr="00EF45CA">
        <w:trPr>
          <w:trHeight w:val="315"/>
        </w:trPr>
        <w:tc>
          <w:tcPr>
            <w:tcW w:w="5149" w:type="dxa"/>
            <w:tcBorders>
              <w:top w:val="single" w:sz="12" w:space="0" w:color="auto"/>
              <w:left w:val="single" w:sz="12" w:space="0" w:color="auto"/>
              <w:bottom w:val="single" w:sz="12" w:space="0" w:color="auto"/>
              <w:right w:val="single" w:sz="12" w:space="0" w:color="auto"/>
            </w:tcBorders>
            <w:shd w:val="clear" w:color="auto" w:fill="E8E8E8"/>
            <w:vAlign w:val="bottom"/>
          </w:tcPr>
          <w:p w14:paraId="002F805E" w14:textId="7ED90176" w:rsidR="5827C86D" w:rsidRDefault="5827C86D" w:rsidP="5827C86D">
            <w:r w:rsidRPr="5827C86D">
              <w:rPr>
                <w:rFonts w:eastAsia="Inter Light" w:cs="Inter Light"/>
                <w:b/>
                <w:bCs/>
                <w:sz w:val="20"/>
                <w:szCs w:val="20"/>
              </w:rPr>
              <w:t>2025/26 Opening Budget</w:t>
            </w:r>
          </w:p>
        </w:tc>
        <w:tc>
          <w:tcPr>
            <w:tcW w:w="1701" w:type="dxa"/>
            <w:tcBorders>
              <w:top w:val="single" w:sz="12" w:space="0" w:color="auto"/>
              <w:left w:val="single" w:sz="12" w:space="0" w:color="auto"/>
              <w:bottom w:val="single" w:sz="12" w:space="0" w:color="auto"/>
              <w:right w:val="single" w:sz="12" w:space="0" w:color="auto"/>
            </w:tcBorders>
            <w:vAlign w:val="center"/>
          </w:tcPr>
          <w:p w14:paraId="11FFB9A3" w14:textId="69C895F8" w:rsidR="5827C86D" w:rsidRDefault="24E7FFEB" w:rsidP="5827C86D">
            <w:pPr>
              <w:jc w:val="right"/>
            </w:pPr>
            <w:r w:rsidRPr="7DC21327">
              <w:rPr>
                <w:rFonts w:eastAsia="Inter Light" w:cs="Inter Light"/>
                <w:b/>
                <w:bCs/>
                <w:sz w:val="20"/>
                <w:szCs w:val="20"/>
              </w:rPr>
              <w:t>(5,77</w:t>
            </w:r>
            <w:r w:rsidR="3E3876EE" w:rsidRPr="7DC21327">
              <w:rPr>
                <w:rFonts w:eastAsia="Inter Light" w:cs="Inter Light"/>
                <w:b/>
                <w:bCs/>
                <w:sz w:val="20"/>
                <w:szCs w:val="20"/>
              </w:rPr>
              <w:t>2</w:t>
            </w:r>
            <w:r w:rsidRPr="7DC21327">
              <w:rPr>
                <w:rFonts w:eastAsia="Inter Light" w:cs="Inter Light"/>
                <w:b/>
                <w:bCs/>
                <w:sz w:val="20"/>
                <w:szCs w:val="20"/>
              </w:rPr>
              <w:t xml:space="preserve">) </w:t>
            </w:r>
          </w:p>
        </w:tc>
      </w:tr>
      <w:tr w:rsidR="5827C86D" w14:paraId="496FE8E2" w14:textId="77777777" w:rsidTr="00EF45CA">
        <w:trPr>
          <w:trHeight w:val="315"/>
        </w:trPr>
        <w:tc>
          <w:tcPr>
            <w:tcW w:w="5149" w:type="dxa"/>
            <w:tcBorders>
              <w:top w:val="single" w:sz="12" w:space="0" w:color="auto"/>
              <w:left w:val="single" w:sz="12" w:space="0" w:color="auto"/>
              <w:bottom w:val="single" w:sz="4" w:space="0" w:color="auto"/>
              <w:right w:val="single" w:sz="12" w:space="0" w:color="auto"/>
            </w:tcBorders>
            <w:shd w:val="clear" w:color="auto" w:fill="E8E8E8"/>
            <w:vAlign w:val="bottom"/>
          </w:tcPr>
          <w:p w14:paraId="7B0D4578" w14:textId="4ECA5193" w:rsidR="5827C86D" w:rsidRDefault="5827C86D" w:rsidP="5827C86D">
            <w:r w:rsidRPr="5827C86D">
              <w:rPr>
                <w:rFonts w:eastAsia="Inter Light" w:cs="Inter Light"/>
                <w:sz w:val="20"/>
                <w:szCs w:val="20"/>
              </w:rPr>
              <w:t xml:space="preserve"> </w:t>
            </w:r>
          </w:p>
        </w:tc>
        <w:tc>
          <w:tcPr>
            <w:tcW w:w="1701" w:type="dxa"/>
            <w:tcBorders>
              <w:top w:val="single" w:sz="12" w:space="0" w:color="auto"/>
              <w:left w:val="single" w:sz="12" w:space="0" w:color="auto"/>
              <w:bottom w:val="single" w:sz="4" w:space="0" w:color="auto"/>
              <w:right w:val="single" w:sz="12" w:space="0" w:color="auto"/>
            </w:tcBorders>
            <w:vAlign w:val="center"/>
          </w:tcPr>
          <w:p w14:paraId="663CBCE0" w14:textId="1D52ACDB" w:rsidR="5827C86D" w:rsidRDefault="5827C86D" w:rsidP="5827C86D">
            <w:pPr>
              <w:jc w:val="right"/>
            </w:pPr>
            <w:r w:rsidRPr="5827C86D">
              <w:rPr>
                <w:rFonts w:eastAsia="Inter Light" w:cs="Inter Light"/>
                <w:sz w:val="20"/>
                <w:szCs w:val="20"/>
              </w:rPr>
              <w:t xml:space="preserve"> </w:t>
            </w:r>
          </w:p>
        </w:tc>
      </w:tr>
      <w:tr w:rsidR="5827C86D" w14:paraId="4947201A"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14DD7761" w14:textId="24270215" w:rsidR="5827C86D" w:rsidRDefault="5827C86D" w:rsidP="5827C86D">
            <w:r w:rsidRPr="5827C86D">
              <w:rPr>
                <w:rFonts w:eastAsia="Inter Light" w:cs="Inter Light"/>
                <w:sz w:val="20"/>
                <w:szCs w:val="20"/>
              </w:rPr>
              <w:t>Pay award, Inflation and Indexation</w:t>
            </w:r>
          </w:p>
        </w:tc>
        <w:tc>
          <w:tcPr>
            <w:tcW w:w="1701" w:type="dxa"/>
            <w:tcBorders>
              <w:top w:val="single" w:sz="4" w:space="0" w:color="auto"/>
              <w:left w:val="single" w:sz="12" w:space="0" w:color="auto"/>
              <w:bottom w:val="single" w:sz="4" w:space="0" w:color="auto"/>
              <w:right w:val="single" w:sz="12" w:space="0" w:color="auto"/>
            </w:tcBorders>
            <w:vAlign w:val="center"/>
          </w:tcPr>
          <w:p w14:paraId="51F47D20" w14:textId="46F8D1CD" w:rsidR="5827C86D" w:rsidRPr="00EF45CA" w:rsidRDefault="5827C86D" w:rsidP="00EF45CA">
            <w:pPr>
              <w:jc w:val="right"/>
              <w:rPr>
                <w:rFonts w:eastAsia="Inter Light" w:cs="Inter Light"/>
                <w:sz w:val="20"/>
                <w:szCs w:val="20"/>
              </w:rPr>
            </w:pPr>
            <w:r w:rsidRPr="5827C86D">
              <w:rPr>
                <w:rFonts w:eastAsia="Inter Light" w:cs="Inter Light"/>
                <w:sz w:val="20"/>
                <w:szCs w:val="20"/>
              </w:rPr>
              <w:t>(78</w:t>
            </w:r>
            <w:r w:rsidR="00A70FC1">
              <w:rPr>
                <w:rFonts w:eastAsia="Inter Light" w:cs="Inter Light"/>
                <w:sz w:val="20"/>
                <w:szCs w:val="20"/>
              </w:rPr>
              <w:t>2</w:t>
            </w:r>
            <w:r w:rsidRPr="5827C86D">
              <w:rPr>
                <w:rFonts w:eastAsia="Inter Light" w:cs="Inter Light"/>
                <w:sz w:val="20"/>
                <w:szCs w:val="20"/>
              </w:rPr>
              <w:t xml:space="preserve">) </w:t>
            </w:r>
          </w:p>
        </w:tc>
      </w:tr>
      <w:tr w:rsidR="5827C86D" w14:paraId="5F654BBE"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3D254456" w14:textId="293EBEEA" w:rsidR="5827C86D" w:rsidRDefault="5827C86D" w:rsidP="5827C86D">
            <w:pPr>
              <w:rPr>
                <w:rFonts w:eastAsia="Inter Light" w:cs="Inter Light"/>
                <w:sz w:val="20"/>
                <w:szCs w:val="20"/>
              </w:rPr>
            </w:pPr>
            <w:r w:rsidRPr="5827C86D">
              <w:rPr>
                <w:rFonts w:eastAsia="Inter Light" w:cs="Inter Light"/>
                <w:sz w:val="20"/>
                <w:szCs w:val="20"/>
              </w:rPr>
              <w:t xml:space="preserve">Interest </w:t>
            </w:r>
            <w:r w:rsidR="2CC4231D" w:rsidRPr="5827C86D">
              <w:rPr>
                <w:rFonts w:eastAsia="Inter Light" w:cs="Inter Light"/>
                <w:sz w:val="20"/>
                <w:szCs w:val="20"/>
              </w:rPr>
              <w:t>Receivable</w:t>
            </w:r>
          </w:p>
        </w:tc>
        <w:tc>
          <w:tcPr>
            <w:tcW w:w="1701" w:type="dxa"/>
            <w:tcBorders>
              <w:top w:val="single" w:sz="4" w:space="0" w:color="auto"/>
              <w:left w:val="single" w:sz="12" w:space="0" w:color="auto"/>
              <w:bottom w:val="single" w:sz="4" w:space="0" w:color="auto"/>
              <w:right w:val="single" w:sz="12" w:space="0" w:color="auto"/>
            </w:tcBorders>
            <w:vAlign w:val="center"/>
          </w:tcPr>
          <w:p w14:paraId="778A250A" w14:textId="582F9641" w:rsidR="5827C86D" w:rsidRDefault="5827C86D" w:rsidP="5827C86D">
            <w:pPr>
              <w:jc w:val="right"/>
            </w:pPr>
            <w:r w:rsidRPr="5827C86D">
              <w:rPr>
                <w:rFonts w:eastAsia="Inter Light" w:cs="Inter Light"/>
                <w:sz w:val="20"/>
                <w:szCs w:val="20"/>
              </w:rPr>
              <w:t xml:space="preserve">             1,775 </w:t>
            </w:r>
          </w:p>
        </w:tc>
      </w:tr>
      <w:tr w:rsidR="5827C86D" w14:paraId="447431A5"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33474411" w14:textId="34556255" w:rsidR="5827C86D" w:rsidRDefault="5827C86D" w:rsidP="5827C86D">
            <w:r w:rsidRPr="5827C86D">
              <w:rPr>
                <w:rFonts w:eastAsia="Inter Light" w:cs="Inter Light"/>
                <w:sz w:val="20"/>
                <w:szCs w:val="20"/>
              </w:rPr>
              <w:t>Interest Payable</w:t>
            </w:r>
          </w:p>
        </w:tc>
        <w:tc>
          <w:tcPr>
            <w:tcW w:w="1701" w:type="dxa"/>
            <w:tcBorders>
              <w:top w:val="single" w:sz="4" w:space="0" w:color="auto"/>
              <w:left w:val="single" w:sz="12" w:space="0" w:color="auto"/>
              <w:bottom w:val="single" w:sz="4" w:space="0" w:color="auto"/>
              <w:right w:val="single" w:sz="12" w:space="0" w:color="auto"/>
            </w:tcBorders>
            <w:vAlign w:val="center"/>
          </w:tcPr>
          <w:p w14:paraId="5A6FEB4D" w14:textId="588E174A" w:rsidR="5827C86D" w:rsidRDefault="5827C86D" w:rsidP="5827C86D">
            <w:pPr>
              <w:jc w:val="right"/>
            </w:pPr>
            <w:r w:rsidRPr="5827C86D">
              <w:rPr>
                <w:rFonts w:eastAsia="Inter Light" w:cs="Inter Light"/>
                <w:sz w:val="20"/>
                <w:szCs w:val="20"/>
              </w:rPr>
              <w:t xml:space="preserve">(6,334) </w:t>
            </w:r>
          </w:p>
        </w:tc>
      </w:tr>
      <w:tr w:rsidR="5827C86D" w14:paraId="118A4316"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44F563F5" w14:textId="2E9604DF" w:rsidR="5827C86D" w:rsidRDefault="5827C86D" w:rsidP="5827C86D">
            <w:r w:rsidRPr="5827C86D">
              <w:rPr>
                <w:rFonts w:eastAsia="Inter Light" w:cs="Inter Light"/>
                <w:sz w:val="20"/>
                <w:szCs w:val="20"/>
              </w:rPr>
              <w:t>MRP</w:t>
            </w:r>
          </w:p>
        </w:tc>
        <w:tc>
          <w:tcPr>
            <w:tcW w:w="1701" w:type="dxa"/>
            <w:tcBorders>
              <w:top w:val="single" w:sz="4" w:space="0" w:color="auto"/>
              <w:left w:val="single" w:sz="12" w:space="0" w:color="auto"/>
              <w:bottom w:val="single" w:sz="4" w:space="0" w:color="auto"/>
              <w:right w:val="single" w:sz="12" w:space="0" w:color="auto"/>
            </w:tcBorders>
            <w:vAlign w:val="center"/>
          </w:tcPr>
          <w:p w14:paraId="40D9F1C9" w14:textId="743E1571" w:rsidR="5827C86D" w:rsidRDefault="5827C86D" w:rsidP="5827C86D">
            <w:pPr>
              <w:jc w:val="right"/>
            </w:pPr>
            <w:r w:rsidRPr="5827C86D">
              <w:rPr>
                <w:rFonts w:eastAsia="Inter Light" w:cs="Inter Light"/>
                <w:sz w:val="20"/>
                <w:szCs w:val="20"/>
              </w:rPr>
              <w:t xml:space="preserve">(910) </w:t>
            </w:r>
          </w:p>
        </w:tc>
      </w:tr>
      <w:tr w:rsidR="5827C86D" w14:paraId="536EA70D"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1A7BAC96" w14:textId="0221CE5F" w:rsidR="5827C86D" w:rsidRDefault="5827C86D" w:rsidP="5827C86D">
            <w:r w:rsidRPr="5827C86D">
              <w:rPr>
                <w:rFonts w:eastAsia="Inter Light" w:cs="Inter Light"/>
                <w:sz w:val="20"/>
                <w:szCs w:val="20"/>
              </w:rPr>
              <w:lastRenderedPageBreak/>
              <w:t>Transformation and Improvement (One off)</w:t>
            </w:r>
          </w:p>
        </w:tc>
        <w:tc>
          <w:tcPr>
            <w:tcW w:w="1701" w:type="dxa"/>
            <w:tcBorders>
              <w:top w:val="single" w:sz="4" w:space="0" w:color="auto"/>
              <w:left w:val="single" w:sz="12" w:space="0" w:color="auto"/>
              <w:bottom w:val="single" w:sz="4" w:space="0" w:color="auto"/>
              <w:right w:val="single" w:sz="12" w:space="0" w:color="auto"/>
            </w:tcBorders>
            <w:vAlign w:val="center"/>
          </w:tcPr>
          <w:p w14:paraId="067427EC" w14:textId="759D4492" w:rsidR="5827C86D" w:rsidRDefault="5827C86D" w:rsidP="5827C86D">
            <w:pPr>
              <w:jc w:val="right"/>
            </w:pPr>
            <w:r w:rsidRPr="5827C86D">
              <w:rPr>
                <w:rFonts w:eastAsia="Inter Light" w:cs="Inter Light"/>
                <w:sz w:val="20"/>
                <w:szCs w:val="20"/>
              </w:rPr>
              <w:t xml:space="preserve">(1,519) </w:t>
            </w:r>
          </w:p>
        </w:tc>
      </w:tr>
      <w:tr w:rsidR="5827C86D" w14:paraId="3018E5E6"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3FF108CE" w14:textId="65C402C3" w:rsidR="5827C86D" w:rsidRDefault="5827C86D" w:rsidP="5827C86D">
            <w:r w:rsidRPr="5827C86D">
              <w:rPr>
                <w:rFonts w:eastAsia="Inter Light" w:cs="Inter Light"/>
                <w:sz w:val="20"/>
                <w:szCs w:val="20"/>
              </w:rPr>
              <w:t>Removal of IP activity ending 2025/26</w:t>
            </w:r>
          </w:p>
        </w:tc>
        <w:tc>
          <w:tcPr>
            <w:tcW w:w="1701" w:type="dxa"/>
            <w:tcBorders>
              <w:top w:val="single" w:sz="4" w:space="0" w:color="auto"/>
              <w:left w:val="single" w:sz="12" w:space="0" w:color="auto"/>
              <w:bottom w:val="single" w:sz="4" w:space="0" w:color="auto"/>
              <w:right w:val="single" w:sz="12" w:space="0" w:color="auto"/>
            </w:tcBorders>
            <w:vAlign w:val="center"/>
          </w:tcPr>
          <w:p w14:paraId="2094415F" w14:textId="2770FC95" w:rsidR="5827C86D" w:rsidRDefault="5827C86D" w:rsidP="5827C86D">
            <w:pPr>
              <w:jc w:val="right"/>
            </w:pPr>
            <w:r w:rsidRPr="5827C86D">
              <w:rPr>
                <w:rFonts w:eastAsia="Inter Light" w:cs="Inter Light"/>
                <w:sz w:val="20"/>
                <w:szCs w:val="20"/>
              </w:rPr>
              <w:t xml:space="preserve">8,613 </w:t>
            </w:r>
          </w:p>
        </w:tc>
      </w:tr>
      <w:tr w:rsidR="5827C86D" w14:paraId="004E67C7"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0B5BF78D" w14:textId="54D1A91C" w:rsidR="5827C86D" w:rsidRDefault="5827C86D" w:rsidP="5827C86D">
            <w:r w:rsidRPr="5827C86D">
              <w:rPr>
                <w:rFonts w:eastAsia="Inter Light" w:cs="Inter Light"/>
                <w:sz w:val="20"/>
                <w:szCs w:val="20"/>
              </w:rPr>
              <w:t>Growth</w:t>
            </w:r>
          </w:p>
        </w:tc>
        <w:tc>
          <w:tcPr>
            <w:tcW w:w="1701" w:type="dxa"/>
            <w:tcBorders>
              <w:top w:val="single" w:sz="4" w:space="0" w:color="auto"/>
              <w:left w:val="single" w:sz="12" w:space="0" w:color="auto"/>
              <w:bottom w:val="single" w:sz="4" w:space="0" w:color="auto"/>
              <w:right w:val="single" w:sz="12" w:space="0" w:color="auto"/>
            </w:tcBorders>
            <w:vAlign w:val="center"/>
          </w:tcPr>
          <w:p w14:paraId="3D508027" w14:textId="640758F0" w:rsidR="5827C86D" w:rsidRDefault="5827C86D" w:rsidP="5827C86D">
            <w:pPr>
              <w:jc w:val="right"/>
            </w:pPr>
            <w:r w:rsidRPr="5827C86D">
              <w:rPr>
                <w:rFonts w:eastAsia="Inter Light" w:cs="Inter Light"/>
                <w:sz w:val="20"/>
                <w:szCs w:val="20"/>
              </w:rPr>
              <w:t xml:space="preserve">(419) </w:t>
            </w:r>
          </w:p>
        </w:tc>
      </w:tr>
      <w:tr w:rsidR="5827C86D" w14:paraId="53E420C7"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105A968C" w14:textId="66E4D033" w:rsidR="5827C86D" w:rsidRDefault="5827C86D" w:rsidP="5827C86D">
            <w:r w:rsidRPr="5827C86D">
              <w:rPr>
                <w:rFonts w:eastAsia="Inter Light" w:cs="Inter Light"/>
                <w:sz w:val="20"/>
                <w:szCs w:val="20"/>
              </w:rPr>
              <w:t>Remove duplicate MCF Income budget</w:t>
            </w:r>
          </w:p>
        </w:tc>
        <w:tc>
          <w:tcPr>
            <w:tcW w:w="1701" w:type="dxa"/>
            <w:tcBorders>
              <w:top w:val="single" w:sz="4" w:space="0" w:color="auto"/>
              <w:left w:val="single" w:sz="12" w:space="0" w:color="auto"/>
              <w:bottom w:val="single" w:sz="4" w:space="0" w:color="auto"/>
              <w:right w:val="single" w:sz="12" w:space="0" w:color="auto"/>
            </w:tcBorders>
            <w:vAlign w:val="center"/>
          </w:tcPr>
          <w:p w14:paraId="25D2F704" w14:textId="190AD198" w:rsidR="5827C86D" w:rsidRDefault="5827C86D" w:rsidP="5827C86D">
            <w:pPr>
              <w:jc w:val="right"/>
            </w:pPr>
            <w:r w:rsidRPr="5827C86D">
              <w:rPr>
                <w:rFonts w:eastAsia="Inter Light" w:cs="Inter Light"/>
                <w:sz w:val="20"/>
                <w:szCs w:val="20"/>
              </w:rPr>
              <w:t xml:space="preserve">(1,500) </w:t>
            </w:r>
          </w:p>
        </w:tc>
      </w:tr>
      <w:tr w:rsidR="00C775B6" w14:paraId="0FC5F4B9"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51101B4E" w14:textId="6A59EA5E" w:rsidR="00C775B6" w:rsidRDefault="00C775B6" w:rsidP="00C775B6">
            <w:r>
              <w:rPr>
                <w:rFonts w:eastAsia="Times New Roman" w:cs="Times New Roman"/>
                <w:color w:val="000000"/>
                <w:kern w:val="0"/>
                <w:sz w:val="20"/>
                <w:szCs w:val="20"/>
                <w:lang w:eastAsia="en-GB"/>
                <w14:ligatures w14:val="none"/>
              </w:rPr>
              <w:t>Support Services charged to Capital Grant Delivery</w:t>
            </w:r>
          </w:p>
        </w:tc>
        <w:tc>
          <w:tcPr>
            <w:tcW w:w="1701" w:type="dxa"/>
            <w:tcBorders>
              <w:top w:val="single" w:sz="4" w:space="0" w:color="auto"/>
              <w:left w:val="single" w:sz="12" w:space="0" w:color="auto"/>
              <w:bottom w:val="single" w:sz="4" w:space="0" w:color="auto"/>
              <w:right w:val="single" w:sz="12" w:space="0" w:color="auto"/>
            </w:tcBorders>
            <w:vAlign w:val="center"/>
          </w:tcPr>
          <w:p w14:paraId="655189BC" w14:textId="5C934564" w:rsidR="00C775B6" w:rsidRDefault="00C775B6" w:rsidP="00C775B6">
            <w:pPr>
              <w:jc w:val="right"/>
            </w:pPr>
            <w:r w:rsidRPr="5827C86D">
              <w:rPr>
                <w:rFonts w:eastAsia="Inter Light" w:cs="Inter Light"/>
                <w:sz w:val="20"/>
                <w:szCs w:val="20"/>
              </w:rPr>
              <w:t xml:space="preserve">2,026 </w:t>
            </w:r>
          </w:p>
        </w:tc>
      </w:tr>
      <w:tr w:rsidR="5827C86D" w14:paraId="6CED9F61"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60184599" w14:textId="60BCA88B" w:rsidR="5827C86D" w:rsidRDefault="00C775B6" w:rsidP="5827C86D">
            <w:r>
              <w:rPr>
                <w:rFonts w:eastAsia="Times New Roman" w:cs="Times New Roman"/>
                <w:color w:val="000000"/>
                <w:kern w:val="0"/>
                <w:sz w:val="20"/>
                <w:szCs w:val="20"/>
                <w:lang w:eastAsia="en-GB"/>
                <w14:ligatures w14:val="none"/>
              </w:rPr>
              <w:t>Support Services charged to Revenue Grant Delivery</w:t>
            </w:r>
          </w:p>
        </w:tc>
        <w:tc>
          <w:tcPr>
            <w:tcW w:w="1701" w:type="dxa"/>
            <w:tcBorders>
              <w:top w:val="single" w:sz="4" w:space="0" w:color="auto"/>
              <w:left w:val="single" w:sz="12" w:space="0" w:color="auto"/>
              <w:bottom w:val="single" w:sz="4" w:space="0" w:color="auto"/>
              <w:right w:val="single" w:sz="12" w:space="0" w:color="auto"/>
            </w:tcBorders>
            <w:vAlign w:val="center"/>
          </w:tcPr>
          <w:p w14:paraId="612871F9" w14:textId="6CB8D20F" w:rsidR="5827C86D" w:rsidRDefault="5827C86D" w:rsidP="5827C86D">
            <w:pPr>
              <w:jc w:val="right"/>
            </w:pPr>
            <w:r w:rsidRPr="5827C86D">
              <w:rPr>
                <w:rFonts w:eastAsia="Inter Light" w:cs="Inter Light"/>
                <w:sz w:val="20"/>
                <w:szCs w:val="20"/>
              </w:rPr>
              <w:t xml:space="preserve"> 1,894 </w:t>
            </w:r>
          </w:p>
        </w:tc>
      </w:tr>
      <w:tr w:rsidR="5827C86D" w14:paraId="4EBA235B"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012D0DD9" w14:textId="25A81337" w:rsidR="5827C86D" w:rsidRDefault="5827C86D" w:rsidP="5827C86D">
            <w:r w:rsidRPr="5827C86D">
              <w:rPr>
                <w:rFonts w:eastAsia="Inter Light" w:cs="Inter Light"/>
                <w:sz w:val="20"/>
                <w:szCs w:val="20"/>
              </w:rPr>
              <w:t>Inter Group Recharge</w:t>
            </w:r>
          </w:p>
        </w:tc>
        <w:tc>
          <w:tcPr>
            <w:tcW w:w="1701" w:type="dxa"/>
            <w:tcBorders>
              <w:top w:val="single" w:sz="4" w:space="0" w:color="auto"/>
              <w:left w:val="single" w:sz="12" w:space="0" w:color="auto"/>
              <w:bottom w:val="single" w:sz="4" w:space="0" w:color="auto"/>
              <w:right w:val="single" w:sz="12" w:space="0" w:color="auto"/>
            </w:tcBorders>
            <w:vAlign w:val="center"/>
          </w:tcPr>
          <w:p w14:paraId="5EB11285" w14:textId="7181FD1C" w:rsidR="5827C86D" w:rsidRDefault="5827C86D" w:rsidP="5827C86D">
            <w:pPr>
              <w:jc w:val="right"/>
            </w:pPr>
            <w:r w:rsidRPr="5827C86D">
              <w:rPr>
                <w:rFonts w:eastAsia="Inter Light" w:cs="Inter Light"/>
                <w:sz w:val="20"/>
                <w:szCs w:val="20"/>
              </w:rPr>
              <w:t xml:space="preserve">   580 </w:t>
            </w:r>
          </w:p>
        </w:tc>
      </w:tr>
      <w:tr w:rsidR="5827C86D" w14:paraId="4E2C15D9"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63179BDF" w14:textId="43D4B830" w:rsidR="5827C86D" w:rsidRDefault="5827C86D" w:rsidP="5827C86D">
            <w:r w:rsidRPr="5827C86D">
              <w:rPr>
                <w:rFonts w:eastAsia="Inter Light" w:cs="Inter Light"/>
                <w:sz w:val="20"/>
                <w:szCs w:val="20"/>
              </w:rPr>
              <w:t>EZ Income</w:t>
            </w:r>
          </w:p>
        </w:tc>
        <w:tc>
          <w:tcPr>
            <w:tcW w:w="1701" w:type="dxa"/>
            <w:tcBorders>
              <w:top w:val="single" w:sz="4" w:space="0" w:color="auto"/>
              <w:left w:val="single" w:sz="12" w:space="0" w:color="auto"/>
              <w:bottom w:val="single" w:sz="4" w:space="0" w:color="auto"/>
              <w:right w:val="single" w:sz="12" w:space="0" w:color="auto"/>
            </w:tcBorders>
            <w:vAlign w:val="center"/>
          </w:tcPr>
          <w:p w14:paraId="206B102D" w14:textId="2E018474" w:rsidR="5827C86D" w:rsidRDefault="5827C86D" w:rsidP="5827C86D">
            <w:pPr>
              <w:jc w:val="right"/>
            </w:pPr>
            <w:r w:rsidRPr="5827C86D">
              <w:rPr>
                <w:rFonts w:eastAsia="Inter Light" w:cs="Inter Light"/>
                <w:sz w:val="20"/>
                <w:szCs w:val="20"/>
              </w:rPr>
              <w:t xml:space="preserve"> 2,900 </w:t>
            </w:r>
          </w:p>
        </w:tc>
      </w:tr>
      <w:tr w:rsidR="5827C86D" w14:paraId="3366C368" w14:textId="77777777" w:rsidTr="00EF45CA">
        <w:trPr>
          <w:trHeight w:val="300"/>
        </w:trPr>
        <w:tc>
          <w:tcPr>
            <w:tcW w:w="5149" w:type="dxa"/>
            <w:tcBorders>
              <w:top w:val="single" w:sz="4" w:space="0" w:color="auto"/>
              <w:left w:val="single" w:sz="12" w:space="0" w:color="auto"/>
              <w:bottom w:val="single" w:sz="4" w:space="0" w:color="auto"/>
              <w:right w:val="single" w:sz="12" w:space="0" w:color="auto"/>
            </w:tcBorders>
            <w:shd w:val="clear" w:color="auto" w:fill="E8E8E8"/>
            <w:vAlign w:val="bottom"/>
          </w:tcPr>
          <w:p w14:paraId="79B75A90" w14:textId="6E038D21" w:rsidR="5827C86D" w:rsidRDefault="5827C86D" w:rsidP="5827C86D">
            <w:r w:rsidRPr="5827C86D">
              <w:rPr>
                <w:rFonts w:eastAsia="Inter Light" w:cs="Inter Light"/>
                <w:sz w:val="20"/>
                <w:szCs w:val="20"/>
              </w:rPr>
              <w:t>Net Lease Wrap Income</w:t>
            </w:r>
          </w:p>
        </w:tc>
        <w:tc>
          <w:tcPr>
            <w:tcW w:w="1701" w:type="dxa"/>
            <w:tcBorders>
              <w:top w:val="single" w:sz="4" w:space="0" w:color="auto"/>
              <w:left w:val="single" w:sz="12" w:space="0" w:color="auto"/>
              <w:bottom w:val="single" w:sz="4" w:space="0" w:color="auto"/>
              <w:right w:val="single" w:sz="12" w:space="0" w:color="auto"/>
            </w:tcBorders>
            <w:vAlign w:val="center"/>
          </w:tcPr>
          <w:p w14:paraId="7E5EA230" w14:textId="11DA68B1" w:rsidR="5827C86D" w:rsidRDefault="5827C86D" w:rsidP="5827C86D">
            <w:pPr>
              <w:jc w:val="right"/>
            </w:pPr>
            <w:r w:rsidRPr="5827C86D">
              <w:rPr>
                <w:rFonts w:eastAsia="Inter Light" w:cs="Inter Light"/>
                <w:sz w:val="20"/>
                <w:szCs w:val="20"/>
              </w:rPr>
              <w:t xml:space="preserve"> 1,028 </w:t>
            </w:r>
          </w:p>
        </w:tc>
      </w:tr>
      <w:tr w:rsidR="5827C86D" w14:paraId="2445F8B2" w14:textId="77777777" w:rsidTr="00EF45CA">
        <w:trPr>
          <w:trHeight w:val="300"/>
        </w:trPr>
        <w:tc>
          <w:tcPr>
            <w:tcW w:w="5149" w:type="dxa"/>
            <w:tcBorders>
              <w:top w:val="single" w:sz="4" w:space="0" w:color="auto"/>
              <w:left w:val="single" w:sz="12" w:space="0" w:color="auto"/>
              <w:bottom w:val="single" w:sz="12" w:space="0" w:color="auto"/>
              <w:right w:val="single" w:sz="12" w:space="0" w:color="auto"/>
            </w:tcBorders>
            <w:shd w:val="clear" w:color="auto" w:fill="E8E8E8"/>
            <w:vAlign w:val="bottom"/>
          </w:tcPr>
          <w:p w14:paraId="320B97C9" w14:textId="1190505E" w:rsidR="5827C86D" w:rsidRDefault="5827C86D" w:rsidP="5827C86D">
            <w:r w:rsidRPr="5827C86D">
              <w:rPr>
                <w:rFonts w:eastAsia="Inter Light" w:cs="Inter Light"/>
                <w:sz w:val="20"/>
                <w:szCs w:val="20"/>
              </w:rPr>
              <w:t xml:space="preserve">Draw Down </w:t>
            </w:r>
            <w:r w:rsidR="37EAED72" w:rsidRPr="5827C86D">
              <w:rPr>
                <w:rFonts w:eastAsia="Inter Light" w:cs="Inter Light"/>
                <w:sz w:val="20"/>
                <w:szCs w:val="20"/>
              </w:rPr>
              <w:t>f</w:t>
            </w:r>
            <w:r w:rsidRPr="5827C86D">
              <w:rPr>
                <w:rFonts w:eastAsia="Inter Light" w:cs="Inter Light"/>
                <w:sz w:val="20"/>
                <w:szCs w:val="20"/>
              </w:rPr>
              <w:t>rom AEB Reserve</w:t>
            </w:r>
          </w:p>
        </w:tc>
        <w:tc>
          <w:tcPr>
            <w:tcW w:w="1701" w:type="dxa"/>
            <w:tcBorders>
              <w:top w:val="single" w:sz="4" w:space="0" w:color="auto"/>
              <w:left w:val="single" w:sz="12" w:space="0" w:color="auto"/>
              <w:bottom w:val="single" w:sz="12" w:space="0" w:color="auto"/>
              <w:right w:val="single" w:sz="12" w:space="0" w:color="auto"/>
            </w:tcBorders>
            <w:vAlign w:val="center"/>
          </w:tcPr>
          <w:p w14:paraId="3A574D54" w14:textId="56DDA1B2" w:rsidR="5827C86D" w:rsidRDefault="5827C86D" w:rsidP="5827C86D">
            <w:pPr>
              <w:jc w:val="right"/>
            </w:pPr>
            <w:r w:rsidRPr="5827C86D">
              <w:rPr>
                <w:rFonts w:eastAsia="Inter Light" w:cs="Inter Light"/>
                <w:sz w:val="20"/>
                <w:szCs w:val="20"/>
              </w:rPr>
              <w:t xml:space="preserve">2,497 </w:t>
            </w:r>
          </w:p>
        </w:tc>
      </w:tr>
      <w:tr w:rsidR="5827C86D" w14:paraId="1868591F" w14:textId="77777777" w:rsidTr="00EF45CA">
        <w:trPr>
          <w:trHeight w:val="300"/>
        </w:trPr>
        <w:tc>
          <w:tcPr>
            <w:tcW w:w="5149" w:type="dxa"/>
            <w:tcBorders>
              <w:top w:val="single" w:sz="12" w:space="0" w:color="auto"/>
              <w:left w:val="single" w:sz="12" w:space="0" w:color="auto"/>
              <w:bottom w:val="single" w:sz="12" w:space="0" w:color="auto"/>
              <w:right w:val="single" w:sz="12" w:space="0" w:color="auto"/>
            </w:tcBorders>
            <w:shd w:val="clear" w:color="auto" w:fill="E8E8E8"/>
            <w:vAlign w:val="bottom"/>
          </w:tcPr>
          <w:p w14:paraId="35141A0A" w14:textId="7143A345" w:rsidR="5827C86D" w:rsidRDefault="5827C86D" w:rsidP="5827C86D">
            <w:r w:rsidRPr="5827C86D">
              <w:rPr>
                <w:rFonts w:eastAsia="Inter Light" w:cs="Inter Light"/>
                <w:b/>
                <w:bCs/>
                <w:sz w:val="20"/>
                <w:szCs w:val="20"/>
              </w:rPr>
              <w:t>Net Surplus</w:t>
            </w:r>
          </w:p>
        </w:tc>
        <w:tc>
          <w:tcPr>
            <w:tcW w:w="1701" w:type="dxa"/>
            <w:tcBorders>
              <w:top w:val="single" w:sz="12" w:space="0" w:color="auto"/>
              <w:left w:val="single" w:sz="12" w:space="0" w:color="auto"/>
              <w:bottom w:val="single" w:sz="12" w:space="0" w:color="auto"/>
              <w:right w:val="single" w:sz="12" w:space="0" w:color="auto"/>
            </w:tcBorders>
            <w:shd w:val="clear" w:color="auto" w:fill="E8E8E8"/>
            <w:vAlign w:val="center"/>
          </w:tcPr>
          <w:p w14:paraId="5A41E2C1" w14:textId="7CAF2863" w:rsidR="5827C86D" w:rsidRDefault="5827C86D" w:rsidP="5827C86D">
            <w:pPr>
              <w:jc w:val="right"/>
            </w:pPr>
            <w:r w:rsidRPr="5827C86D">
              <w:rPr>
                <w:rFonts w:eastAsia="Inter Light" w:cs="Inter Light"/>
                <w:b/>
                <w:bCs/>
                <w:sz w:val="20"/>
                <w:szCs w:val="20"/>
              </w:rPr>
              <w:t xml:space="preserve">             4,077</w:t>
            </w:r>
          </w:p>
        </w:tc>
      </w:tr>
    </w:tbl>
    <w:p w14:paraId="04558D8A" w14:textId="7F638278" w:rsidR="0A344F83" w:rsidRDefault="0A344F83" w:rsidP="5827C86D">
      <w:pPr>
        <w:pStyle w:val="ListParagraph"/>
        <w:spacing w:line="276" w:lineRule="auto"/>
        <w:ind w:left="0"/>
        <w:rPr>
          <w:rFonts w:ascii="Inter" w:hAnsi="Inter" w:cs="Arial"/>
        </w:rPr>
      </w:pPr>
    </w:p>
    <w:p w14:paraId="1484BA6D" w14:textId="77777777" w:rsidR="00D06EAE" w:rsidRPr="009D7A02" w:rsidRDefault="00D06EAE" w:rsidP="16FD5590">
      <w:pPr>
        <w:pStyle w:val="ListParagraph"/>
        <w:spacing w:line="276" w:lineRule="auto"/>
        <w:ind w:left="567" w:right="140" w:hanging="567"/>
        <w:rPr>
          <w:rFonts w:ascii="Inter" w:hAnsi="Inter" w:cs="Arial"/>
          <w:b/>
          <w:bCs/>
        </w:rPr>
      </w:pPr>
      <w:r w:rsidRPr="009D7A02">
        <w:rPr>
          <w:rFonts w:ascii="Inter" w:hAnsi="Inter" w:cs="Arial"/>
          <w:b/>
          <w:bCs/>
        </w:rPr>
        <w:t>2025/26 QUARTER 2 REVENUE FORECAST</w:t>
      </w:r>
    </w:p>
    <w:p w14:paraId="62C3DE04" w14:textId="4106A5F2" w:rsidR="16FD5590" w:rsidRPr="009D7A02" w:rsidRDefault="16FD5590" w:rsidP="16FD5590">
      <w:pPr>
        <w:pStyle w:val="ListParagraph"/>
        <w:spacing w:line="276" w:lineRule="auto"/>
        <w:ind w:left="567" w:right="140" w:hanging="567"/>
        <w:rPr>
          <w:rFonts w:ascii="Inter" w:hAnsi="Inter" w:cs="Arial"/>
          <w:b/>
          <w:bCs/>
        </w:rPr>
      </w:pPr>
    </w:p>
    <w:p w14:paraId="654D721A" w14:textId="47DB2806" w:rsidR="001D46CF" w:rsidRPr="009D7A02" w:rsidRDefault="001D46CF"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 xml:space="preserve">The most recently published revenue outturn forecast </w:t>
      </w:r>
      <w:r w:rsidR="3BC643BA" w:rsidRPr="2DFE4DF5">
        <w:rPr>
          <w:rFonts w:ascii="Inter" w:hAnsi="Inter" w:cs="Arial"/>
        </w:rPr>
        <w:t>at Quarter 2</w:t>
      </w:r>
      <w:r w:rsidRPr="2DFE4DF5">
        <w:rPr>
          <w:rFonts w:ascii="Inter" w:hAnsi="Inter" w:cs="Arial"/>
        </w:rPr>
        <w:t xml:space="preserve"> indicates a net overspend of £0.955m compared with the Cabinet</w:t>
      </w:r>
      <w:r w:rsidR="6FDD3B98" w:rsidRPr="2DFE4DF5">
        <w:rPr>
          <w:rFonts w:ascii="Inter" w:hAnsi="Inter" w:cs="Arial"/>
        </w:rPr>
        <w:t xml:space="preserve"> </w:t>
      </w:r>
      <w:r w:rsidRPr="2DFE4DF5">
        <w:rPr>
          <w:rFonts w:ascii="Inter" w:hAnsi="Inter" w:cs="Arial"/>
        </w:rPr>
        <w:t>a</w:t>
      </w:r>
      <w:r w:rsidR="6CECAA29" w:rsidRPr="2DFE4DF5">
        <w:rPr>
          <w:rFonts w:ascii="Inter" w:hAnsi="Inter" w:cs="Arial"/>
        </w:rPr>
        <w:t>pproved</w:t>
      </w:r>
      <w:r w:rsidRPr="2DFE4DF5">
        <w:rPr>
          <w:rFonts w:ascii="Inter" w:hAnsi="Inter" w:cs="Arial"/>
        </w:rPr>
        <w:t xml:space="preserve"> annual budget. As reported to Cabinet in December 2025, this is predominantly due to in</w:t>
      </w:r>
      <w:r w:rsidR="7F424140" w:rsidRPr="2DFE4DF5">
        <w:rPr>
          <w:rFonts w:ascii="Inter" w:hAnsi="Inter" w:cs="Arial"/>
        </w:rPr>
        <w:t>-</w:t>
      </w:r>
      <w:r w:rsidRPr="2DFE4DF5">
        <w:rPr>
          <w:rFonts w:ascii="Inter" w:hAnsi="Inter" w:cs="Arial"/>
        </w:rPr>
        <w:t>year, one</w:t>
      </w:r>
      <w:r w:rsidR="58C2CBF4" w:rsidRPr="2DFE4DF5">
        <w:rPr>
          <w:rFonts w:ascii="Inter" w:hAnsi="Inter" w:cs="Arial"/>
        </w:rPr>
        <w:t>-</w:t>
      </w:r>
      <w:r w:rsidRPr="2DFE4DF5">
        <w:rPr>
          <w:rFonts w:ascii="Inter" w:hAnsi="Inter" w:cs="Arial"/>
        </w:rPr>
        <w:t>off ‘Transformation’ costs (including agency staff and external services), historic audit fees, and a recurrent—potentially structural—budget issue relating to premises costs and loan interest. These recurrent issues have been addressed as part of the 2026/27 budget build.</w:t>
      </w:r>
    </w:p>
    <w:p w14:paraId="4A0E8F64" w14:textId="72B0C1A1" w:rsidR="00620A9B" w:rsidRDefault="00620A9B">
      <w:pPr>
        <w:rPr>
          <w:rFonts w:ascii="Inter" w:hAnsi="Inter" w:cs="Arial"/>
          <w:b/>
          <w:bCs/>
        </w:rPr>
      </w:pPr>
    </w:p>
    <w:p w14:paraId="10636598" w14:textId="0A692604" w:rsidR="00D06EAE" w:rsidRPr="009D7A02" w:rsidRDefault="00D06EAE" w:rsidP="16FD5590">
      <w:pPr>
        <w:pStyle w:val="ListParagraph"/>
        <w:spacing w:line="276" w:lineRule="auto"/>
        <w:ind w:left="567" w:right="140"/>
        <w:jc w:val="center"/>
        <w:rPr>
          <w:rFonts w:ascii="Inter" w:hAnsi="Inter" w:cs="Arial"/>
          <w:b/>
          <w:bCs/>
        </w:rPr>
      </w:pPr>
      <w:r w:rsidRPr="009D7A02">
        <w:rPr>
          <w:rFonts w:ascii="Inter" w:hAnsi="Inter" w:cs="Arial"/>
          <w:b/>
          <w:bCs/>
        </w:rPr>
        <w:t xml:space="preserve">Table </w:t>
      </w:r>
      <w:r w:rsidR="008164D7">
        <w:rPr>
          <w:rFonts w:ascii="Inter" w:hAnsi="Inter" w:cs="Arial"/>
          <w:b/>
          <w:bCs/>
        </w:rPr>
        <w:t>9</w:t>
      </w:r>
      <w:r w:rsidR="6C1B1C17" w:rsidRPr="009D7A02">
        <w:rPr>
          <w:rFonts w:ascii="Inter" w:hAnsi="Inter" w:cs="Arial"/>
          <w:b/>
          <w:bCs/>
        </w:rPr>
        <w:t>:</w:t>
      </w:r>
      <w:r w:rsidRPr="009D7A02">
        <w:rPr>
          <w:rFonts w:ascii="Inter" w:hAnsi="Inter" w:cs="Arial"/>
          <w:b/>
          <w:bCs/>
        </w:rPr>
        <w:t xml:space="preserve"> Q2 TVCA 2025</w:t>
      </w:r>
      <w:r w:rsidR="12D50E93" w:rsidRPr="009D7A02">
        <w:rPr>
          <w:rFonts w:ascii="Inter" w:hAnsi="Inter" w:cs="Arial"/>
          <w:b/>
          <w:bCs/>
        </w:rPr>
        <w:t>/</w:t>
      </w:r>
      <w:r w:rsidRPr="009D7A02">
        <w:rPr>
          <w:rFonts w:ascii="Inter" w:hAnsi="Inter" w:cs="Arial"/>
          <w:b/>
          <w:bCs/>
        </w:rPr>
        <w:t>26 outturn forecast</w:t>
      </w:r>
    </w:p>
    <w:p w14:paraId="5604D5F1" w14:textId="77777777" w:rsidR="00D06EAE" w:rsidRPr="009D7A02" w:rsidRDefault="00D06EAE" w:rsidP="00D06EAE">
      <w:pPr>
        <w:pStyle w:val="ListParagraph"/>
        <w:spacing w:line="276" w:lineRule="auto"/>
        <w:ind w:left="0"/>
        <w:rPr>
          <w:rFonts w:ascii="Inter" w:hAnsi="Inter" w:cs="Arial"/>
          <w:szCs w:val="22"/>
        </w:rPr>
      </w:pPr>
    </w:p>
    <w:tbl>
      <w:tblPr>
        <w:tblW w:w="7946" w:type="dxa"/>
        <w:jc w:val="center"/>
        <w:tblLook w:val="04A0" w:firstRow="1" w:lastRow="0" w:firstColumn="1" w:lastColumn="0" w:noHBand="0" w:noVBand="1"/>
      </w:tblPr>
      <w:tblGrid>
        <w:gridCol w:w="4129"/>
        <w:gridCol w:w="1290"/>
        <w:gridCol w:w="1166"/>
        <w:gridCol w:w="1381"/>
      </w:tblGrid>
      <w:tr w:rsidR="00E14767" w:rsidRPr="009D7A02" w14:paraId="61C95AED" w14:textId="77777777" w:rsidTr="00ED1090">
        <w:trPr>
          <w:trHeight w:val="20"/>
          <w:jc w:val="center"/>
        </w:trPr>
        <w:tc>
          <w:tcPr>
            <w:tcW w:w="4129" w:type="dxa"/>
            <w:tcBorders>
              <w:top w:val="single" w:sz="12" w:space="0" w:color="auto"/>
              <w:left w:val="single" w:sz="12" w:space="0" w:color="auto"/>
              <w:bottom w:val="nil"/>
              <w:right w:val="nil"/>
            </w:tcBorders>
            <w:shd w:val="clear" w:color="auto" w:fill="E8E8E8"/>
            <w:noWrap/>
            <w:vAlign w:val="bottom"/>
            <w:hideMark/>
          </w:tcPr>
          <w:p w14:paraId="129056AB" w14:textId="77777777" w:rsidR="00D06EAE" w:rsidRPr="009D7A02" w:rsidRDefault="00D06EAE">
            <w:pPr>
              <w:spacing w:line="276" w:lineRule="auto"/>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 </w:t>
            </w:r>
          </w:p>
        </w:tc>
        <w:tc>
          <w:tcPr>
            <w:tcW w:w="1290" w:type="dxa"/>
            <w:tcBorders>
              <w:top w:val="single" w:sz="12" w:space="0" w:color="auto"/>
              <w:left w:val="single" w:sz="4" w:space="0" w:color="auto"/>
              <w:bottom w:val="nil"/>
              <w:right w:val="single" w:sz="4" w:space="0" w:color="auto"/>
            </w:tcBorders>
            <w:shd w:val="clear" w:color="auto" w:fill="E8E8E8"/>
            <w:hideMark/>
          </w:tcPr>
          <w:p w14:paraId="4659A8F9" w14:textId="77777777" w:rsidR="00D06EAE" w:rsidRPr="009D7A02" w:rsidRDefault="00D06EAE" w:rsidP="00176F9E">
            <w:pPr>
              <w:spacing w:line="276" w:lineRule="auto"/>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2025/26 Current Budget</w:t>
            </w:r>
          </w:p>
        </w:tc>
        <w:tc>
          <w:tcPr>
            <w:tcW w:w="1166" w:type="dxa"/>
            <w:tcBorders>
              <w:top w:val="single" w:sz="12" w:space="0" w:color="auto"/>
              <w:left w:val="single" w:sz="12" w:space="0" w:color="auto"/>
              <w:bottom w:val="nil"/>
              <w:right w:val="single" w:sz="4" w:space="0" w:color="auto"/>
            </w:tcBorders>
            <w:shd w:val="clear" w:color="auto" w:fill="E8E8E8"/>
            <w:hideMark/>
          </w:tcPr>
          <w:p w14:paraId="78B443E7" w14:textId="77777777" w:rsidR="00D06EAE" w:rsidRPr="009D7A02" w:rsidRDefault="00D06EAE" w:rsidP="00176F9E">
            <w:pPr>
              <w:spacing w:line="276" w:lineRule="auto"/>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2025/26 Forecast</w:t>
            </w:r>
          </w:p>
        </w:tc>
        <w:tc>
          <w:tcPr>
            <w:tcW w:w="1361" w:type="dxa"/>
            <w:tcBorders>
              <w:top w:val="single" w:sz="12" w:space="0" w:color="auto"/>
              <w:left w:val="nil"/>
              <w:bottom w:val="nil"/>
              <w:right w:val="single" w:sz="12" w:space="0" w:color="auto"/>
            </w:tcBorders>
            <w:shd w:val="clear" w:color="auto" w:fill="E8E8E8"/>
            <w:hideMark/>
          </w:tcPr>
          <w:p w14:paraId="369DE0E4" w14:textId="77777777" w:rsidR="00D06EAE" w:rsidRPr="009D7A02" w:rsidRDefault="00D06EAE" w:rsidP="00176F9E">
            <w:pPr>
              <w:spacing w:line="276" w:lineRule="auto"/>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Underspend / (Overspend)</w:t>
            </w:r>
          </w:p>
        </w:tc>
      </w:tr>
      <w:tr w:rsidR="00E14767" w:rsidRPr="009D7A02" w14:paraId="5E07C179" w14:textId="77777777" w:rsidTr="00ED1090">
        <w:trPr>
          <w:trHeight w:val="20"/>
          <w:jc w:val="center"/>
        </w:trPr>
        <w:tc>
          <w:tcPr>
            <w:tcW w:w="4129" w:type="dxa"/>
            <w:tcBorders>
              <w:top w:val="nil"/>
              <w:left w:val="single" w:sz="12" w:space="0" w:color="auto"/>
              <w:bottom w:val="single" w:sz="12" w:space="0" w:color="auto"/>
              <w:right w:val="nil"/>
            </w:tcBorders>
            <w:shd w:val="clear" w:color="auto" w:fill="E8E8E8"/>
            <w:noWrap/>
            <w:vAlign w:val="bottom"/>
            <w:hideMark/>
          </w:tcPr>
          <w:p w14:paraId="04B2169C" w14:textId="77777777" w:rsidR="00D06EAE" w:rsidRPr="009D7A02" w:rsidRDefault="00D06EAE">
            <w:pPr>
              <w:spacing w:line="276" w:lineRule="auto"/>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 </w:t>
            </w:r>
          </w:p>
        </w:tc>
        <w:tc>
          <w:tcPr>
            <w:tcW w:w="1290" w:type="dxa"/>
            <w:tcBorders>
              <w:top w:val="nil"/>
              <w:left w:val="single" w:sz="4" w:space="0" w:color="auto"/>
              <w:bottom w:val="single" w:sz="12" w:space="0" w:color="auto"/>
              <w:right w:val="single" w:sz="4" w:space="0" w:color="auto"/>
            </w:tcBorders>
            <w:shd w:val="clear" w:color="auto" w:fill="E8E8E8"/>
            <w:noWrap/>
            <w:vAlign w:val="bottom"/>
            <w:hideMark/>
          </w:tcPr>
          <w:p w14:paraId="3F1A105A" w14:textId="77777777" w:rsidR="00D06EAE" w:rsidRPr="009D7A02" w:rsidRDefault="00D06EAE" w:rsidP="00176F9E">
            <w:pPr>
              <w:spacing w:line="276" w:lineRule="auto"/>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£'000</w:t>
            </w:r>
          </w:p>
        </w:tc>
        <w:tc>
          <w:tcPr>
            <w:tcW w:w="1166" w:type="dxa"/>
            <w:tcBorders>
              <w:top w:val="nil"/>
              <w:left w:val="single" w:sz="12" w:space="0" w:color="auto"/>
              <w:bottom w:val="single" w:sz="12" w:space="0" w:color="auto"/>
              <w:right w:val="single" w:sz="4" w:space="0" w:color="auto"/>
            </w:tcBorders>
            <w:shd w:val="clear" w:color="auto" w:fill="E8E8E8"/>
            <w:noWrap/>
            <w:vAlign w:val="bottom"/>
            <w:hideMark/>
          </w:tcPr>
          <w:p w14:paraId="65F21094" w14:textId="77777777" w:rsidR="00D06EAE" w:rsidRPr="009D7A02" w:rsidRDefault="00D06EAE" w:rsidP="00176F9E">
            <w:pPr>
              <w:spacing w:line="276" w:lineRule="auto"/>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£'000</w:t>
            </w:r>
          </w:p>
        </w:tc>
        <w:tc>
          <w:tcPr>
            <w:tcW w:w="1361" w:type="dxa"/>
            <w:tcBorders>
              <w:top w:val="nil"/>
              <w:left w:val="nil"/>
              <w:bottom w:val="single" w:sz="12" w:space="0" w:color="auto"/>
              <w:right w:val="single" w:sz="12" w:space="0" w:color="auto"/>
            </w:tcBorders>
            <w:shd w:val="clear" w:color="auto" w:fill="E8E8E8"/>
            <w:noWrap/>
            <w:vAlign w:val="bottom"/>
            <w:hideMark/>
          </w:tcPr>
          <w:p w14:paraId="1272ED56" w14:textId="77777777" w:rsidR="00D06EAE" w:rsidRPr="009D7A02" w:rsidRDefault="00D06EAE" w:rsidP="00176F9E">
            <w:pPr>
              <w:spacing w:line="276" w:lineRule="auto"/>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£'000</w:t>
            </w:r>
          </w:p>
        </w:tc>
      </w:tr>
      <w:tr w:rsidR="00E14767" w:rsidRPr="009D7A02" w14:paraId="3D40B32D" w14:textId="77777777" w:rsidTr="00ED1090">
        <w:trPr>
          <w:trHeight w:val="300"/>
          <w:jc w:val="center"/>
        </w:trPr>
        <w:tc>
          <w:tcPr>
            <w:tcW w:w="4129" w:type="dxa"/>
            <w:tcBorders>
              <w:top w:val="single" w:sz="4" w:space="0" w:color="auto"/>
              <w:left w:val="single" w:sz="12" w:space="0" w:color="auto"/>
              <w:bottom w:val="single" w:sz="4" w:space="0" w:color="auto"/>
              <w:right w:val="nil"/>
            </w:tcBorders>
            <w:shd w:val="clear" w:color="auto" w:fill="E8E8E8"/>
            <w:noWrap/>
            <w:vAlign w:val="bottom"/>
            <w:hideMark/>
          </w:tcPr>
          <w:p w14:paraId="6A9638DD" w14:textId="77777777" w:rsidR="00D06EAE" w:rsidRPr="009D7A02" w:rsidRDefault="00D06EAE">
            <w:pPr>
              <w:spacing w:line="276" w:lineRule="auto"/>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Employee</w:t>
            </w:r>
          </w:p>
        </w:tc>
        <w:tc>
          <w:tcPr>
            <w:tcW w:w="1290" w:type="dxa"/>
            <w:tcBorders>
              <w:top w:val="single" w:sz="4" w:space="0" w:color="auto"/>
              <w:left w:val="single" w:sz="4" w:space="0" w:color="auto"/>
              <w:bottom w:val="single" w:sz="4" w:space="0" w:color="auto"/>
              <w:right w:val="single" w:sz="4" w:space="0" w:color="auto"/>
            </w:tcBorders>
            <w:noWrap/>
            <w:vAlign w:val="center"/>
            <w:hideMark/>
          </w:tcPr>
          <w:p w14:paraId="2010646F"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5,627</w:t>
            </w:r>
          </w:p>
        </w:tc>
        <w:tc>
          <w:tcPr>
            <w:tcW w:w="1166" w:type="dxa"/>
            <w:tcBorders>
              <w:top w:val="single" w:sz="4" w:space="0" w:color="auto"/>
              <w:left w:val="single" w:sz="12" w:space="0" w:color="auto"/>
              <w:bottom w:val="single" w:sz="4" w:space="0" w:color="auto"/>
              <w:right w:val="single" w:sz="4" w:space="0" w:color="auto"/>
            </w:tcBorders>
            <w:noWrap/>
            <w:vAlign w:val="center"/>
            <w:hideMark/>
          </w:tcPr>
          <w:p w14:paraId="2FE9AA40"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6,285</w:t>
            </w:r>
          </w:p>
        </w:tc>
        <w:tc>
          <w:tcPr>
            <w:tcW w:w="1361" w:type="dxa"/>
            <w:tcBorders>
              <w:top w:val="single" w:sz="4" w:space="0" w:color="auto"/>
              <w:left w:val="nil"/>
              <w:bottom w:val="single" w:sz="4" w:space="0" w:color="auto"/>
              <w:right w:val="single" w:sz="12" w:space="0" w:color="auto"/>
            </w:tcBorders>
            <w:noWrap/>
            <w:vAlign w:val="center"/>
            <w:hideMark/>
          </w:tcPr>
          <w:p w14:paraId="32352E5F"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(658)</w:t>
            </w:r>
          </w:p>
        </w:tc>
      </w:tr>
      <w:tr w:rsidR="00E14767" w:rsidRPr="009D7A02" w14:paraId="4FA5D5A7" w14:textId="77777777" w:rsidTr="00ED1090">
        <w:trPr>
          <w:trHeight w:val="290"/>
          <w:jc w:val="center"/>
        </w:trPr>
        <w:tc>
          <w:tcPr>
            <w:tcW w:w="4129" w:type="dxa"/>
            <w:tcBorders>
              <w:top w:val="nil"/>
              <w:left w:val="single" w:sz="12" w:space="0" w:color="auto"/>
              <w:bottom w:val="single" w:sz="4" w:space="0" w:color="auto"/>
              <w:right w:val="nil"/>
            </w:tcBorders>
            <w:shd w:val="clear" w:color="auto" w:fill="E8E8E8"/>
            <w:noWrap/>
            <w:vAlign w:val="bottom"/>
            <w:hideMark/>
          </w:tcPr>
          <w:p w14:paraId="762695D1" w14:textId="77777777" w:rsidR="00D06EAE" w:rsidRPr="009D7A02" w:rsidRDefault="00D06EAE">
            <w:pPr>
              <w:spacing w:line="276" w:lineRule="auto"/>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Premises</w:t>
            </w:r>
          </w:p>
        </w:tc>
        <w:tc>
          <w:tcPr>
            <w:tcW w:w="1290" w:type="dxa"/>
            <w:tcBorders>
              <w:top w:val="nil"/>
              <w:left w:val="single" w:sz="4" w:space="0" w:color="auto"/>
              <w:bottom w:val="single" w:sz="4" w:space="0" w:color="auto"/>
              <w:right w:val="single" w:sz="4" w:space="0" w:color="auto"/>
            </w:tcBorders>
            <w:noWrap/>
            <w:vAlign w:val="center"/>
            <w:hideMark/>
          </w:tcPr>
          <w:p w14:paraId="414E7646"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562</w:t>
            </w:r>
          </w:p>
        </w:tc>
        <w:tc>
          <w:tcPr>
            <w:tcW w:w="1166" w:type="dxa"/>
            <w:tcBorders>
              <w:top w:val="nil"/>
              <w:left w:val="single" w:sz="12" w:space="0" w:color="auto"/>
              <w:bottom w:val="single" w:sz="4" w:space="0" w:color="auto"/>
              <w:right w:val="single" w:sz="4" w:space="0" w:color="auto"/>
            </w:tcBorders>
            <w:noWrap/>
            <w:vAlign w:val="center"/>
            <w:hideMark/>
          </w:tcPr>
          <w:p w14:paraId="7A1C454D"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635</w:t>
            </w:r>
          </w:p>
        </w:tc>
        <w:tc>
          <w:tcPr>
            <w:tcW w:w="1361" w:type="dxa"/>
            <w:tcBorders>
              <w:top w:val="nil"/>
              <w:left w:val="nil"/>
              <w:bottom w:val="single" w:sz="4" w:space="0" w:color="auto"/>
              <w:right w:val="single" w:sz="12" w:space="0" w:color="auto"/>
            </w:tcBorders>
            <w:noWrap/>
            <w:vAlign w:val="center"/>
            <w:hideMark/>
          </w:tcPr>
          <w:p w14:paraId="299B8E10"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(73)</w:t>
            </w:r>
          </w:p>
        </w:tc>
      </w:tr>
      <w:tr w:rsidR="00E14767" w:rsidRPr="009D7A02" w14:paraId="014B649D" w14:textId="77777777" w:rsidTr="00ED1090">
        <w:trPr>
          <w:trHeight w:val="290"/>
          <w:jc w:val="center"/>
        </w:trPr>
        <w:tc>
          <w:tcPr>
            <w:tcW w:w="4129" w:type="dxa"/>
            <w:tcBorders>
              <w:top w:val="nil"/>
              <w:left w:val="single" w:sz="12" w:space="0" w:color="auto"/>
              <w:bottom w:val="single" w:sz="4" w:space="0" w:color="auto"/>
              <w:right w:val="nil"/>
            </w:tcBorders>
            <w:shd w:val="clear" w:color="auto" w:fill="E8E8E8"/>
            <w:noWrap/>
            <w:vAlign w:val="bottom"/>
            <w:hideMark/>
          </w:tcPr>
          <w:p w14:paraId="28023957" w14:textId="77777777" w:rsidR="00D06EAE" w:rsidRPr="009D7A02" w:rsidRDefault="00D06EAE">
            <w:pPr>
              <w:spacing w:line="276" w:lineRule="auto"/>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Supplies and Services</w:t>
            </w:r>
          </w:p>
        </w:tc>
        <w:tc>
          <w:tcPr>
            <w:tcW w:w="1290" w:type="dxa"/>
            <w:tcBorders>
              <w:top w:val="nil"/>
              <w:left w:val="single" w:sz="4" w:space="0" w:color="auto"/>
              <w:bottom w:val="single" w:sz="4" w:space="0" w:color="auto"/>
              <w:right w:val="single" w:sz="4" w:space="0" w:color="auto"/>
            </w:tcBorders>
            <w:noWrap/>
            <w:vAlign w:val="center"/>
            <w:hideMark/>
          </w:tcPr>
          <w:p w14:paraId="785E97FE"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150</w:t>
            </w:r>
          </w:p>
        </w:tc>
        <w:tc>
          <w:tcPr>
            <w:tcW w:w="1166" w:type="dxa"/>
            <w:tcBorders>
              <w:top w:val="nil"/>
              <w:left w:val="single" w:sz="12" w:space="0" w:color="auto"/>
              <w:bottom w:val="single" w:sz="4" w:space="0" w:color="auto"/>
              <w:right w:val="single" w:sz="4" w:space="0" w:color="auto"/>
            </w:tcBorders>
            <w:noWrap/>
            <w:vAlign w:val="center"/>
            <w:hideMark/>
          </w:tcPr>
          <w:p w14:paraId="5FF9DFDC"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1,310</w:t>
            </w:r>
          </w:p>
        </w:tc>
        <w:tc>
          <w:tcPr>
            <w:tcW w:w="1361" w:type="dxa"/>
            <w:tcBorders>
              <w:top w:val="nil"/>
              <w:left w:val="nil"/>
              <w:bottom w:val="single" w:sz="4" w:space="0" w:color="auto"/>
              <w:right w:val="single" w:sz="12" w:space="0" w:color="auto"/>
            </w:tcBorders>
            <w:noWrap/>
            <w:vAlign w:val="center"/>
            <w:hideMark/>
          </w:tcPr>
          <w:p w14:paraId="100DED0A"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(1,160)</w:t>
            </w:r>
          </w:p>
        </w:tc>
      </w:tr>
      <w:tr w:rsidR="00E14767" w:rsidRPr="009D7A02" w14:paraId="15B2BAAF" w14:textId="77777777" w:rsidTr="00ED1090">
        <w:trPr>
          <w:trHeight w:val="290"/>
          <w:jc w:val="center"/>
        </w:trPr>
        <w:tc>
          <w:tcPr>
            <w:tcW w:w="4129" w:type="dxa"/>
            <w:tcBorders>
              <w:top w:val="nil"/>
              <w:left w:val="single" w:sz="12" w:space="0" w:color="auto"/>
              <w:bottom w:val="single" w:sz="4" w:space="0" w:color="auto"/>
              <w:right w:val="nil"/>
            </w:tcBorders>
            <w:shd w:val="clear" w:color="auto" w:fill="E8E8E8"/>
            <w:noWrap/>
            <w:vAlign w:val="bottom"/>
            <w:hideMark/>
          </w:tcPr>
          <w:p w14:paraId="445F958E" w14:textId="77777777" w:rsidR="00D06EAE" w:rsidRPr="009D7A02" w:rsidRDefault="00D06EAE">
            <w:pPr>
              <w:spacing w:line="276" w:lineRule="auto"/>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Income</w:t>
            </w:r>
          </w:p>
        </w:tc>
        <w:tc>
          <w:tcPr>
            <w:tcW w:w="1290" w:type="dxa"/>
            <w:tcBorders>
              <w:top w:val="nil"/>
              <w:left w:val="single" w:sz="4" w:space="0" w:color="auto"/>
              <w:bottom w:val="single" w:sz="4" w:space="0" w:color="auto"/>
              <w:right w:val="single" w:sz="4" w:space="0" w:color="auto"/>
            </w:tcBorders>
            <w:noWrap/>
            <w:vAlign w:val="center"/>
            <w:hideMark/>
          </w:tcPr>
          <w:p w14:paraId="21F93D1C"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(18,426)</w:t>
            </w:r>
          </w:p>
        </w:tc>
        <w:tc>
          <w:tcPr>
            <w:tcW w:w="1166" w:type="dxa"/>
            <w:tcBorders>
              <w:top w:val="nil"/>
              <w:left w:val="single" w:sz="12" w:space="0" w:color="auto"/>
              <w:bottom w:val="single" w:sz="4" w:space="0" w:color="auto"/>
              <w:right w:val="single" w:sz="4" w:space="0" w:color="auto"/>
            </w:tcBorders>
            <w:noWrap/>
            <w:vAlign w:val="center"/>
            <w:hideMark/>
          </w:tcPr>
          <w:p w14:paraId="71AA15EA"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(19,362)</w:t>
            </w:r>
          </w:p>
        </w:tc>
        <w:tc>
          <w:tcPr>
            <w:tcW w:w="1361" w:type="dxa"/>
            <w:tcBorders>
              <w:top w:val="nil"/>
              <w:left w:val="nil"/>
              <w:bottom w:val="single" w:sz="4" w:space="0" w:color="auto"/>
              <w:right w:val="single" w:sz="12" w:space="0" w:color="auto"/>
            </w:tcBorders>
            <w:noWrap/>
            <w:vAlign w:val="center"/>
            <w:hideMark/>
          </w:tcPr>
          <w:p w14:paraId="25179B6F" w14:textId="77777777" w:rsidR="00D06EAE" w:rsidRPr="009D7A02" w:rsidRDefault="00D06EAE" w:rsidP="00176F9E">
            <w:pPr>
              <w:spacing w:line="276" w:lineRule="auto"/>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936</w:t>
            </w:r>
          </w:p>
        </w:tc>
      </w:tr>
      <w:tr w:rsidR="00E14767" w:rsidRPr="009D7A02" w14:paraId="49BF6EF9" w14:textId="77777777" w:rsidTr="00ED1090">
        <w:trPr>
          <w:trHeight w:val="300"/>
          <w:jc w:val="center"/>
        </w:trPr>
        <w:tc>
          <w:tcPr>
            <w:tcW w:w="4129" w:type="dxa"/>
            <w:tcBorders>
              <w:top w:val="single" w:sz="4" w:space="0" w:color="auto"/>
              <w:left w:val="single" w:sz="12" w:space="0" w:color="auto"/>
              <w:bottom w:val="single" w:sz="12" w:space="0" w:color="auto"/>
              <w:right w:val="nil"/>
            </w:tcBorders>
            <w:shd w:val="clear" w:color="auto" w:fill="E8E8E8"/>
            <w:noWrap/>
            <w:vAlign w:val="bottom"/>
            <w:hideMark/>
          </w:tcPr>
          <w:p w14:paraId="04B07863" w14:textId="77777777" w:rsidR="00D06EAE" w:rsidRPr="009D7A02" w:rsidRDefault="00D06EAE">
            <w:pPr>
              <w:spacing w:line="276" w:lineRule="auto"/>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 </w:t>
            </w:r>
          </w:p>
        </w:tc>
        <w:tc>
          <w:tcPr>
            <w:tcW w:w="1290" w:type="dxa"/>
            <w:tcBorders>
              <w:top w:val="single" w:sz="4" w:space="0" w:color="auto"/>
              <w:left w:val="single" w:sz="4" w:space="0" w:color="auto"/>
              <w:bottom w:val="single" w:sz="12" w:space="0" w:color="auto"/>
              <w:right w:val="single" w:sz="4" w:space="0" w:color="auto"/>
            </w:tcBorders>
            <w:shd w:val="clear" w:color="auto" w:fill="E8E8E8"/>
            <w:noWrap/>
            <w:vAlign w:val="center"/>
            <w:hideMark/>
          </w:tcPr>
          <w:p w14:paraId="010712E9" w14:textId="77777777" w:rsidR="00D06EAE" w:rsidRPr="009D7A02" w:rsidRDefault="00D06EAE" w:rsidP="00176F9E">
            <w:pPr>
              <w:spacing w:line="276" w:lineRule="auto"/>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(12,087)</w:t>
            </w:r>
          </w:p>
        </w:tc>
        <w:tc>
          <w:tcPr>
            <w:tcW w:w="1166" w:type="dxa"/>
            <w:tcBorders>
              <w:top w:val="nil"/>
              <w:left w:val="single" w:sz="12" w:space="0" w:color="auto"/>
              <w:bottom w:val="single" w:sz="12" w:space="0" w:color="auto"/>
              <w:right w:val="single" w:sz="4" w:space="0" w:color="auto"/>
            </w:tcBorders>
            <w:shd w:val="clear" w:color="auto" w:fill="E8E8E8"/>
            <w:noWrap/>
            <w:vAlign w:val="center"/>
            <w:hideMark/>
          </w:tcPr>
          <w:p w14:paraId="076D16D1" w14:textId="77777777" w:rsidR="00D06EAE" w:rsidRPr="009D7A02" w:rsidRDefault="00D06EAE" w:rsidP="00176F9E">
            <w:pPr>
              <w:spacing w:line="276" w:lineRule="auto"/>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(11,132)</w:t>
            </w:r>
          </w:p>
        </w:tc>
        <w:tc>
          <w:tcPr>
            <w:tcW w:w="1361" w:type="dxa"/>
            <w:tcBorders>
              <w:top w:val="nil"/>
              <w:left w:val="nil"/>
              <w:bottom w:val="single" w:sz="12" w:space="0" w:color="auto"/>
              <w:right w:val="single" w:sz="12" w:space="0" w:color="auto"/>
            </w:tcBorders>
            <w:shd w:val="clear" w:color="auto" w:fill="E8E8E8"/>
            <w:noWrap/>
            <w:vAlign w:val="center"/>
            <w:hideMark/>
          </w:tcPr>
          <w:p w14:paraId="7F10FCCE" w14:textId="77777777" w:rsidR="00D06EAE" w:rsidRPr="009D7A02" w:rsidRDefault="00D06EAE" w:rsidP="00176F9E">
            <w:pPr>
              <w:spacing w:line="276" w:lineRule="auto"/>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(955)</w:t>
            </w:r>
          </w:p>
        </w:tc>
      </w:tr>
    </w:tbl>
    <w:p w14:paraId="79ED61C3" w14:textId="77777777" w:rsidR="00D06EAE" w:rsidRPr="009D7A02" w:rsidRDefault="00D06EAE" w:rsidP="00597EF7">
      <w:pPr>
        <w:pStyle w:val="ListParagraph"/>
        <w:spacing w:line="276" w:lineRule="auto"/>
        <w:ind w:left="0" w:right="140"/>
        <w:rPr>
          <w:rFonts w:ascii="Inter" w:hAnsi="Inter" w:cs="Arial"/>
          <w:b/>
          <w:bCs/>
          <w:szCs w:val="22"/>
        </w:rPr>
      </w:pPr>
    </w:p>
    <w:p w14:paraId="7238DD7C" w14:textId="755454AE" w:rsidR="00F87056" w:rsidRPr="009D7A02" w:rsidRDefault="00F87056"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Where non</w:t>
      </w:r>
      <w:r w:rsidR="4B827D8A" w:rsidRPr="2DFE4DF5">
        <w:rPr>
          <w:rFonts w:ascii="Inter" w:hAnsi="Inter" w:cs="Arial"/>
        </w:rPr>
        <w:t>-</w:t>
      </w:r>
      <w:r w:rsidRPr="2DFE4DF5">
        <w:rPr>
          <w:rFonts w:ascii="Inter" w:hAnsi="Inter" w:cs="Arial"/>
        </w:rPr>
        <w:t>recurrent costs have been identified as continuing to have an impact in specific future years, the budgets for those years have been constructed to reflect this.</w:t>
      </w:r>
      <w:r w:rsidR="1C9F0625" w:rsidRPr="2DFE4DF5">
        <w:rPr>
          <w:rFonts w:ascii="Inter" w:hAnsi="Inter" w:cs="Arial"/>
        </w:rPr>
        <w:t xml:space="preserve">  </w:t>
      </w:r>
      <w:r w:rsidRPr="2DFE4DF5">
        <w:rPr>
          <w:rFonts w:ascii="Inter" w:hAnsi="Inter" w:cs="Arial"/>
        </w:rPr>
        <w:t xml:space="preserve">Recurrent underlying </w:t>
      </w:r>
      <w:r w:rsidR="4B8A3F6E" w:rsidRPr="2DFE4DF5">
        <w:rPr>
          <w:rFonts w:ascii="Inter" w:hAnsi="Inter" w:cs="Arial"/>
        </w:rPr>
        <w:t>base budget</w:t>
      </w:r>
      <w:r w:rsidRPr="2DFE4DF5">
        <w:rPr>
          <w:rFonts w:ascii="Inter" w:hAnsi="Inter" w:cs="Arial"/>
        </w:rPr>
        <w:t xml:space="preserve"> issues that have been identified </w:t>
      </w:r>
      <w:r w:rsidR="7C695C21" w:rsidRPr="2DFE4DF5">
        <w:rPr>
          <w:rFonts w:ascii="Inter" w:hAnsi="Inter" w:cs="Arial"/>
        </w:rPr>
        <w:t xml:space="preserve">during 2025/26 </w:t>
      </w:r>
      <w:r w:rsidRPr="2DFE4DF5">
        <w:rPr>
          <w:rFonts w:ascii="Inter" w:hAnsi="Inter" w:cs="Arial"/>
        </w:rPr>
        <w:t>have been addressed in all years of the MTFP.</w:t>
      </w:r>
    </w:p>
    <w:p w14:paraId="024FCBE1" w14:textId="77777777" w:rsidR="00F87056" w:rsidRPr="009D7A02" w:rsidRDefault="00F87056" w:rsidP="00597EF7">
      <w:pPr>
        <w:pStyle w:val="ListParagraph"/>
        <w:spacing w:line="276" w:lineRule="auto"/>
        <w:ind w:left="0" w:right="140"/>
        <w:rPr>
          <w:rFonts w:ascii="Inter" w:hAnsi="Inter" w:cs="Arial"/>
          <w:b/>
        </w:rPr>
      </w:pPr>
    </w:p>
    <w:p w14:paraId="1B352981" w14:textId="0EC3B516" w:rsidR="72DDE161" w:rsidRDefault="72DDE161" w:rsidP="72DDE161">
      <w:pPr>
        <w:pStyle w:val="ListParagraph"/>
        <w:spacing w:line="276" w:lineRule="auto"/>
        <w:ind w:left="0" w:right="140"/>
        <w:rPr>
          <w:rFonts w:ascii="Inter" w:hAnsi="Inter" w:cs="Arial"/>
          <w:b/>
          <w:bCs/>
        </w:rPr>
      </w:pPr>
    </w:p>
    <w:p w14:paraId="22CC7C90" w14:textId="77777777" w:rsidR="00D06EAE" w:rsidRPr="009D7A02" w:rsidRDefault="00D06EAE" w:rsidP="16FD5590">
      <w:pPr>
        <w:pStyle w:val="ListParagraph"/>
        <w:spacing w:line="276" w:lineRule="auto"/>
        <w:ind w:left="567" w:right="140" w:hanging="567"/>
        <w:rPr>
          <w:rFonts w:ascii="Inter" w:hAnsi="Inter" w:cs="Arial"/>
          <w:b/>
          <w:bCs/>
        </w:rPr>
      </w:pPr>
      <w:r w:rsidRPr="009D7A02">
        <w:rPr>
          <w:rFonts w:ascii="Inter" w:hAnsi="Inter" w:cs="Arial"/>
          <w:b/>
          <w:bCs/>
        </w:rPr>
        <w:t>INVESTMENT PLAN</w:t>
      </w:r>
    </w:p>
    <w:p w14:paraId="7B30AB86" w14:textId="4FFF46A7" w:rsidR="16FD5590" w:rsidRPr="009D7A02" w:rsidRDefault="16FD5590" w:rsidP="16FD5590">
      <w:pPr>
        <w:pStyle w:val="ListParagraph"/>
        <w:spacing w:line="276" w:lineRule="auto"/>
        <w:ind w:left="567" w:right="140" w:hanging="567"/>
        <w:rPr>
          <w:rFonts w:ascii="Inter" w:hAnsi="Inter" w:cs="Arial"/>
          <w:b/>
          <w:bCs/>
        </w:rPr>
      </w:pPr>
    </w:p>
    <w:p w14:paraId="19D36A92" w14:textId="6C95EB65" w:rsidR="00D06EAE" w:rsidRPr="009D7A02" w:rsidRDefault="74B7C5A0"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The TVCA Constitution states that to meet its responsibilities, the Combined Authority holds capital and revenue derived mainly from resources devolved from central government, and from the returns from past investments. Under the principles of devolution, allocation of these resources should be made through transparent and democratically accountable decision-making, in the best interests of the long-term economic and social benefit of the people of the Tees Valley</w:t>
      </w:r>
      <w:r w:rsidR="247CBDEA" w:rsidRPr="2DFE4DF5">
        <w:rPr>
          <w:rFonts w:ascii="Inter" w:hAnsi="Inter" w:cs="Arial"/>
        </w:rPr>
        <w:t xml:space="preserve"> region.</w:t>
      </w:r>
    </w:p>
    <w:p w14:paraId="6CA8050A" w14:textId="0E921170" w:rsidR="66AFB653" w:rsidRPr="009D7A02" w:rsidRDefault="66AFB653" w:rsidP="00E96A91">
      <w:pPr>
        <w:pStyle w:val="ListParagraph"/>
        <w:spacing w:line="276" w:lineRule="auto"/>
        <w:ind w:left="567" w:right="140"/>
        <w:rPr>
          <w:rFonts w:ascii="Inter" w:hAnsi="Inter" w:cs="Arial"/>
        </w:rPr>
      </w:pPr>
    </w:p>
    <w:p w14:paraId="7F15FA4C" w14:textId="3AF189B3" w:rsidR="247CBDEA" w:rsidRPr="009D7A02" w:rsidRDefault="247CBDEA" w:rsidP="2DFE4DF5">
      <w:pPr>
        <w:pStyle w:val="ListParagraph"/>
        <w:numPr>
          <w:ilvl w:val="0"/>
          <w:numId w:val="3"/>
        </w:numPr>
        <w:spacing w:line="276" w:lineRule="auto"/>
        <w:ind w:left="567" w:right="140" w:hanging="567"/>
        <w:rPr>
          <w:rFonts w:ascii="Inter" w:eastAsia="Inter" w:hAnsi="Inter" w:cs="Inter"/>
        </w:rPr>
      </w:pPr>
      <w:r w:rsidRPr="2DFE4DF5">
        <w:rPr>
          <w:rFonts w:ascii="Inter" w:eastAsia="Inter" w:hAnsi="Inter" w:cs="Inter"/>
        </w:rPr>
        <w:t>It further goes on to state that proposals for allocation of resources available to the Combined Authority shall be set out in an Investment Plan, to be adopted annually and amended as necessary through unanimous agreement by the Cabinet. The Investment Plan shall include:</w:t>
      </w:r>
    </w:p>
    <w:p w14:paraId="25E3CDD0" w14:textId="15554FE8" w:rsidR="0FD8F9D9" w:rsidRPr="009D7A02" w:rsidRDefault="0FD8F9D9" w:rsidP="00E96A91">
      <w:pPr>
        <w:pStyle w:val="ListParagraph"/>
        <w:spacing w:line="276" w:lineRule="auto"/>
        <w:ind w:left="567" w:right="140"/>
        <w:rPr>
          <w:rFonts w:asciiTheme="minorHAnsi" w:eastAsiaTheme="minorEastAsia" w:hAnsiTheme="minorHAnsi"/>
          <w:szCs w:val="22"/>
        </w:rPr>
      </w:pPr>
    </w:p>
    <w:p w14:paraId="3067B0B0" w14:textId="77777777" w:rsidR="00BE2502" w:rsidRPr="00BE2502" w:rsidRDefault="00BE2502" w:rsidP="00BE2502">
      <w:pPr>
        <w:spacing w:line="276" w:lineRule="auto"/>
        <w:ind w:right="140"/>
        <w:rPr>
          <w:rFonts w:ascii="Inter" w:eastAsia="Inter" w:hAnsi="Inter" w:cs="Inter"/>
        </w:rPr>
      </w:pPr>
    </w:p>
    <w:p w14:paraId="5C1CDC7E" w14:textId="3103DDF2" w:rsidR="658CC218" w:rsidRDefault="658CC218" w:rsidP="2DFE4DF5">
      <w:pPr>
        <w:pStyle w:val="ListParagraph"/>
        <w:numPr>
          <w:ilvl w:val="0"/>
          <w:numId w:val="13"/>
        </w:numPr>
        <w:spacing w:line="276" w:lineRule="auto"/>
        <w:ind w:left="1134" w:right="140" w:hanging="283"/>
        <w:rPr>
          <w:rFonts w:ascii="Inter" w:eastAsia="Inter" w:hAnsi="Inter" w:cs="Inter"/>
        </w:rPr>
      </w:pPr>
      <w:r w:rsidRPr="2DFE4DF5">
        <w:rPr>
          <w:rFonts w:ascii="Inter" w:eastAsia="Inter" w:hAnsi="Inter" w:cs="Inter"/>
        </w:rPr>
        <w:t>Estimates of the total resources available to the Combined Authority, on a medium-term basis;</w:t>
      </w:r>
    </w:p>
    <w:p w14:paraId="09A030ED" w14:textId="5E5238CE" w:rsidR="247CBDEA" w:rsidRPr="009D7A02" w:rsidRDefault="247CBDEA" w:rsidP="00AD4EE9">
      <w:pPr>
        <w:pStyle w:val="ListParagraph"/>
        <w:numPr>
          <w:ilvl w:val="0"/>
          <w:numId w:val="13"/>
        </w:numPr>
        <w:spacing w:line="276" w:lineRule="auto"/>
        <w:ind w:left="1134" w:right="140" w:hanging="283"/>
        <w:rPr>
          <w:rFonts w:ascii="Inter" w:eastAsia="Inter" w:hAnsi="Inter" w:cs="Inter"/>
        </w:rPr>
      </w:pPr>
      <w:r w:rsidRPr="009D7A02">
        <w:rPr>
          <w:rFonts w:ascii="Inter" w:eastAsia="Inter" w:hAnsi="Inter" w:cs="Inter"/>
        </w:rPr>
        <w:t>Identification of funding priorities;</w:t>
      </w:r>
    </w:p>
    <w:p w14:paraId="1B241983" w14:textId="3522207F" w:rsidR="247CBDEA" w:rsidRPr="009D7A02" w:rsidRDefault="247CBDEA" w:rsidP="00AD4EE9">
      <w:pPr>
        <w:pStyle w:val="ListParagraph"/>
        <w:numPr>
          <w:ilvl w:val="0"/>
          <w:numId w:val="13"/>
        </w:numPr>
        <w:spacing w:line="276" w:lineRule="auto"/>
        <w:ind w:left="1134" w:right="140" w:hanging="283"/>
        <w:rPr>
          <w:rFonts w:ascii="Inter" w:eastAsia="Inter" w:hAnsi="Inter" w:cs="Inter"/>
        </w:rPr>
      </w:pPr>
      <w:r w:rsidRPr="009D7A02">
        <w:rPr>
          <w:rFonts w:ascii="Inter" w:eastAsia="Inter" w:hAnsi="Inter" w:cs="Inter"/>
        </w:rPr>
        <w:t>Existing commitments of funding to programmes and projects;</w:t>
      </w:r>
    </w:p>
    <w:p w14:paraId="03DBBC07" w14:textId="4F7851C0" w:rsidR="247CBDEA" w:rsidRPr="009D7A02" w:rsidRDefault="247CBDEA" w:rsidP="00AD4EE9">
      <w:pPr>
        <w:pStyle w:val="ListParagraph"/>
        <w:numPr>
          <w:ilvl w:val="0"/>
          <w:numId w:val="13"/>
        </w:numPr>
        <w:spacing w:line="276" w:lineRule="auto"/>
        <w:ind w:left="1134" w:right="140" w:hanging="283"/>
        <w:rPr>
          <w:rFonts w:ascii="Inter" w:eastAsia="Inter" w:hAnsi="Inter" w:cs="Inter"/>
        </w:rPr>
      </w:pPr>
      <w:r w:rsidRPr="009D7A02">
        <w:rPr>
          <w:rFonts w:ascii="Inter" w:eastAsia="Inter" w:hAnsi="Inter" w:cs="Inter"/>
        </w:rPr>
        <w:t>Assessment of assets, liabilities, receipts and borrowing;</w:t>
      </w:r>
    </w:p>
    <w:p w14:paraId="1FF3BEAD" w14:textId="2CEB9481" w:rsidR="533CA09C" w:rsidRPr="009D7A02" w:rsidRDefault="247CBDEA" w:rsidP="00AD4EE9">
      <w:pPr>
        <w:pStyle w:val="ListParagraph"/>
        <w:numPr>
          <w:ilvl w:val="0"/>
          <w:numId w:val="13"/>
        </w:numPr>
        <w:spacing w:line="276" w:lineRule="auto"/>
        <w:ind w:left="1134" w:right="140" w:hanging="283"/>
        <w:rPr>
          <w:rFonts w:ascii="Inter" w:eastAsia="Inter" w:hAnsi="Inter" w:cs="Inter"/>
        </w:rPr>
      </w:pPr>
      <w:r w:rsidRPr="009D7A02">
        <w:rPr>
          <w:rFonts w:ascii="Inter" w:eastAsia="Inter" w:hAnsi="Inter" w:cs="Inter"/>
        </w:rPr>
        <w:t>Assessment of co-funding from other parties for Combined Authority programmes and projects.</w:t>
      </w:r>
    </w:p>
    <w:p w14:paraId="2B352605" w14:textId="49EB0D12" w:rsidR="533CA09C" w:rsidRPr="009D7A02" w:rsidRDefault="533CA09C" w:rsidP="00E96A91">
      <w:pPr>
        <w:pStyle w:val="ListParagraph"/>
        <w:spacing w:line="276" w:lineRule="auto"/>
        <w:ind w:left="993" w:right="140" w:hanging="142"/>
        <w:rPr>
          <w:rFonts w:ascii="Inter" w:hAnsi="Inter" w:cs="Arial"/>
        </w:rPr>
      </w:pPr>
    </w:p>
    <w:p w14:paraId="66D44E61" w14:textId="0B117777" w:rsidR="166AFC8B" w:rsidRDefault="166AFC8B" w:rsidP="2DFE4DF5">
      <w:pPr>
        <w:pStyle w:val="ListParagraph"/>
        <w:numPr>
          <w:ilvl w:val="0"/>
          <w:numId w:val="3"/>
        </w:numPr>
        <w:spacing w:line="276" w:lineRule="auto"/>
        <w:ind w:left="567" w:right="140" w:hanging="567"/>
        <w:rPr>
          <w:rFonts w:ascii="Inter" w:eastAsia="Inter" w:hAnsi="Inter" w:cs="Inter"/>
          <w:szCs w:val="22"/>
        </w:rPr>
      </w:pPr>
      <w:r w:rsidRPr="2DFE4DF5">
        <w:rPr>
          <w:rFonts w:ascii="Inter" w:hAnsi="Inter" w:cs="Arial"/>
        </w:rPr>
        <w:t xml:space="preserve">A refresh of the Investment Plan was </w:t>
      </w:r>
      <w:r w:rsidR="1222DAEE" w:rsidRPr="2DFE4DF5">
        <w:rPr>
          <w:rFonts w:ascii="Inter" w:hAnsi="Inter" w:cs="Arial"/>
        </w:rPr>
        <w:t xml:space="preserve">last </w:t>
      </w:r>
      <w:r w:rsidRPr="2DFE4DF5">
        <w:rPr>
          <w:rFonts w:ascii="Inter" w:hAnsi="Inter" w:cs="Arial"/>
        </w:rPr>
        <w:t xml:space="preserve">presented to Cabinet for approval on </w:t>
      </w:r>
      <w:r w:rsidR="76F1C4DF" w:rsidRPr="2DFE4DF5">
        <w:rPr>
          <w:rFonts w:ascii="Inter" w:hAnsi="Inter" w:cs="Arial"/>
        </w:rPr>
        <w:t>28 March 2025</w:t>
      </w:r>
      <w:r w:rsidR="3C4501ED" w:rsidRPr="2DFE4DF5">
        <w:rPr>
          <w:rFonts w:ascii="Inter" w:hAnsi="Inter" w:cs="Arial"/>
        </w:rPr>
        <w:t xml:space="preserve"> and a summary of the amendments to the Investment Plan </w:t>
      </w:r>
      <w:r w:rsidR="3BA212A0" w:rsidRPr="2DFE4DF5">
        <w:rPr>
          <w:rFonts w:ascii="Inter" w:eastAsia="Inter" w:hAnsi="Inter" w:cs="Inter"/>
          <w:szCs w:val="22"/>
        </w:rPr>
        <w:t>is summarised in the table below.</w:t>
      </w:r>
    </w:p>
    <w:p w14:paraId="2DC66F1E" w14:textId="1B45A02C" w:rsidR="6A191F90" w:rsidRPr="009D7A02" w:rsidRDefault="6A191F90" w:rsidP="6A191F90">
      <w:pPr>
        <w:pStyle w:val="ListParagraph"/>
        <w:spacing w:line="276" w:lineRule="auto"/>
        <w:ind w:left="0" w:right="140"/>
        <w:rPr>
          <w:rFonts w:ascii="Inter" w:hAnsi="Inter" w:cs="Arial"/>
        </w:rPr>
      </w:pPr>
    </w:p>
    <w:p w14:paraId="0430F8E7" w14:textId="454B0616" w:rsidR="709B0482" w:rsidRPr="009D7A02" w:rsidRDefault="709B0482" w:rsidP="00FE4C46">
      <w:pPr>
        <w:pStyle w:val="ListParagraph"/>
        <w:spacing w:line="276" w:lineRule="auto"/>
        <w:ind w:left="567" w:right="140"/>
        <w:jc w:val="center"/>
        <w:rPr>
          <w:rFonts w:ascii="Inter" w:hAnsi="Inter" w:cs="Arial"/>
          <w:b/>
          <w:bCs/>
        </w:rPr>
      </w:pPr>
      <w:r w:rsidRPr="009D7A02">
        <w:rPr>
          <w:rFonts w:ascii="Inter" w:hAnsi="Inter" w:cs="Arial"/>
          <w:b/>
          <w:bCs/>
        </w:rPr>
        <w:t xml:space="preserve">Table </w:t>
      </w:r>
      <w:r w:rsidR="008164D7">
        <w:rPr>
          <w:rFonts w:ascii="Inter" w:hAnsi="Inter" w:cs="Arial"/>
          <w:b/>
          <w:bCs/>
        </w:rPr>
        <w:t>10</w:t>
      </w:r>
      <w:r w:rsidRPr="009D7A02">
        <w:rPr>
          <w:rFonts w:ascii="Inter" w:hAnsi="Inter" w:cs="Arial"/>
          <w:b/>
          <w:bCs/>
        </w:rPr>
        <w:t>: Investment Plan amendments (approved by Cabinet March 2025)</w:t>
      </w:r>
    </w:p>
    <w:p w14:paraId="6E3D977A" w14:textId="77777777" w:rsidR="00CF7647" w:rsidRPr="009D7A02" w:rsidRDefault="00CF7647" w:rsidP="6A191F90">
      <w:pPr>
        <w:pStyle w:val="ListParagraph"/>
        <w:spacing w:line="276" w:lineRule="auto"/>
        <w:ind w:left="0" w:right="140"/>
        <w:rPr>
          <w:rFonts w:ascii="Inter" w:hAnsi="Inter" w:cs="Arial"/>
        </w:rPr>
      </w:pPr>
    </w:p>
    <w:tbl>
      <w:tblPr>
        <w:tblW w:w="9344" w:type="dxa"/>
        <w:tblInd w:w="416" w:type="dxa"/>
        <w:tblLook w:val="04A0" w:firstRow="1" w:lastRow="0" w:firstColumn="1" w:lastColumn="0" w:noHBand="0" w:noVBand="1"/>
      </w:tblPr>
      <w:tblGrid>
        <w:gridCol w:w="4104"/>
        <w:gridCol w:w="1220"/>
        <w:gridCol w:w="1200"/>
        <w:gridCol w:w="930"/>
        <w:gridCol w:w="860"/>
        <w:gridCol w:w="1030"/>
      </w:tblGrid>
      <w:tr w:rsidR="00CF7647" w:rsidRPr="009D7A02" w14:paraId="67F8336D" w14:textId="77777777" w:rsidTr="16FD5590">
        <w:trPr>
          <w:trHeight w:val="520"/>
        </w:trPr>
        <w:tc>
          <w:tcPr>
            <w:tcW w:w="4104" w:type="dxa"/>
            <w:tcBorders>
              <w:top w:val="single" w:sz="8" w:space="0" w:color="000000" w:themeColor="text2"/>
              <w:left w:val="single" w:sz="8" w:space="0" w:color="000000" w:themeColor="text2"/>
              <w:bottom w:val="nil"/>
              <w:right w:val="single" w:sz="8" w:space="0" w:color="000000" w:themeColor="text2"/>
            </w:tcBorders>
            <w:shd w:val="clear" w:color="auto" w:fill="D0D0D0" w:themeFill="accent2" w:themeFillTint="99"/>
            <w:hideMark/>
          </w:tcPr>
          <w:p w14:paraId="10946DAC"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Project</w:t>
            </w:r>
          </w:p>
        </w:tc>
        <w:tc>
          <w:tcPr>
            <w:tcW w:w="1220" w:type="dxa"/>
            <w:tcBorders>
              <w:top w:val="single" w:sz="8" w:space="0" w:color="000000" w:themeColor="text2"/>
              <w:left w:val="nil"/>
              <w:bottom w:val="nil"/>
              <w:right w:val="single" w:sz="8" w:space="0" w:color="000000" w:themeColor="text2"/>
            </w:tcBorders>
            <w:shd w:val="clear" w:color="auto" w:fill="D0D0D0" w:themeFill="accent2" w:themeFillTint="99"/>
            <w:hideMark/>
          </w:tcPr>
          <w:p w14:paraId="29402386"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Business Growth</w:t>
            </w:r>
          </w:p>
        </w:tc>
        <w:tc>
          <w:tcPr>
            <w:tcW w:w="1200" w:type="dxa"/>
            <w:tcBorders>
              <w:top w:val="single" w:sz="8" w:space="0" w:color="000000" w:themeColor="text2"/>
              <w:left w:val="nil"/>
              <w:bottom w:val="nil"/>
              <w:right w:val="single" w:sz="8" w:space="0" w:color="000000" w:themeColor="text2"/>
            </w:tcBorders>
            <w:shd w:val="clear" w:color="auto" w:fill="D0D0D0" w:themeFill="accent2" w:themeFillTint="99"/>
            <w:hideMark/>
          </w:tcPr>
          <w:p w14:paraId="1C9F9377"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Transport</w:t>
            </w:r>
          </w:p>
        </w:tc>
        <w:tc>
          <w:tcPr>
            <w:tcW w:w="930" w:type="dxa"/>
            <w:tcBorders>
              <w:top w:val="single" w:sz="8" w:space="0" w:color="000000" w:themeColor="text2"/>
              <w:left w:val="nil"/>
              <w:bottom w:val="nil"/>
              <w:right w:val="single" w:sz="8" w:space="0" w:color="000000" w:themeColor="text2"/>
            </w:tcBorders>
            <w:shd w:val="clear" w:color="auto" w:fill="D0D0D0" w:themeFill="accent2" w:themeFillTint="99"/>
            <w:hideMark/>
          </w:tcPr>
          <w:p w14:paraId="30E8F028"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EES</w:t>
            </w:r>
          </w:p>
        </w:tc>
        <w:tc>
          <w:tcPr>
            <w:tcW w:w="860" w:type="dxa"/>
            <w:tcBorders>
              <w:top w:val="single" w:sz="8" w:space="0" w:color="000000" w:themeColor="text2"/>
              <w:left w:val="nil"/>
              <w:bottom w:val="nil"/>
              <w:right w:val="single" w:sz="8" w:space="0" w:color="000000" w:themeColor="text2"/>
            </w:tcBorders>
            <w:shd w:val="clear" w:color="auto" w:fill="D0D0D0" w:themeFill="accent2" w:themeFillTint="99"/>
            <w:hideMark/>
          </w:tcPr>
          <w:p w14:paraId="735203A6"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Place</w:t>
            </w:r>
          </w:p>
        </w:tc>
        <w:tc>
          <w:tcPr>
            <w:tcW w:w="1030" w:type="dxa"/>
            <w:tcBorders>
              <w:top w:val="single" w:sz="8" w:space="0" w:color="000000" w:themeColor="text2"/>
              <w:left w:val="nil"/>
              <w:bottom w:val="nil"/>
              <w:right w:val="single" w:sz="8" w:space="0" w:color="000000" w:themeColor="text2"/>
            </w:tcBorders>
            <w:shd w:val="clear" w:color="auto" w:fill="D0D0D0" w:themeFill="accent2" w:themeFillTint="99"/>
            <w:hideMark/>
          </w:tcPr>
          <w:p w14:paraId="2C62DE55"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Total</w:t>
            </w:r>
          </w:p>
        </w:tc>
      </w:tr>
      <w:tr w:rsidR="00CF7647" w:rsidRPr="009D7A02" w14:paraId="74722E08" w14:textId="77777777" w:rsidTr="16FD5590">
        <w:trPr>
          <w:trHeight w:val="300"/>
        </w:trPr>
        <w:tc>
          <w:tcPr>
            <w:tcW w:w="4104" w:type="dxa"/>
            <w:tcBorders>
              <w:top w:val="nil"/>
              <w:left w:val="single" w:sz="8" w:space="0" w:color="000000" w:themeColor="text2"/>
              <w:bottom w:val="single" w:sz="8" w:space="0" w:color="000000" w:themeColor="text2"/>
              <w:right w:val="single" w:sz="8" w:space="0" w:color="000000" w:themeColor="text2"/>
            </w:tcBorders>
            <w:shd w:val="clear" w:color="auto" w:fill="D0D0D0" w:themeFill="accent2" w:themeFillTint="99"/>
            <w:hideMark/>
          </w:tcPr>
          <w:p w14:paraId="37D9C08E"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 </w:t>
            </w:r>
          </w:p>
        </w:tc>
        <w:tc>
          <w:tcPr>
            <w:tcW w:w="1220" w:type="dxa"/>
            <w:tcBorders>
              <w:top w:val="nil"/>
              <w:left w:val="nil"/>
              <w:bottom w:val="single" w:sz="8" w:space="0" w:color="000000" w:themeColor="text2"/>
              <w:right w:val="single" w:sz="8" w:space="0" w:color="000000" w:themeColor="text2"/>
            </w:tcBorders>
            <w:shd w:val="clear" w:color="auto" w:fill="D0D0D0" w:themeFill="accent2" w:themeFillTint="99"/>
            <w:hideMark/>
          </w:tcPr>
          <w:p w14:paraId="37BCC6E7"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£’000</w:t>
            </w:r>
          </w:p>
        </w:tc>
        <w:tc>
          <w:tcPr>
            <w:tcW w:w="1200" w:type="dxa"/>
            <w:tcBorders>
              <w:top w:val="nil"/>
              <w:left w:val="nil"/>
              <w:bottom w:val="single" w:sz="8" w:space="0" w:color="000000" w:themeColor="text2"/>
              <w:right w:val="single" w:sz="8" w:space="0" w:color="000000" w:themeColor="text2"/>
            </w:tcBorders>
            <w:shd w:val="clear" w:color="auto" w:fill="D0D0D0" w:themeFill="accent2" w:themeFillTint="99"/>
            <w:hideMark/>
          </w:tcPr>
          <w:p w14:paraId="6027520D"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£'000</w:t>
            </w:r>
          </w:p>
        </w:tc>
        <w:tc>
          <w:tcPr>
            <w:tcW w:w="930" w:type="dxa"/>
            <w:tcBorders>
              <w:top w:val="nil"/>
              <w:left w:val="nil"/>
              <w:bottom w:val="single" w:sz="8" w:space="0" w:color="000000" w:themeColor="text2"/>
              <w:right w:val="single" w:sz="8" w:space="0" w:color="000000" w:themeColor="text2"/>
            </w:tcBorders>
            <w:shd w:val="clear" w:color="auto" w:fill="D0D0D0" w:themeFill="accent2" w:themeFillTint="99"/>
            <w:hideMark/>
          </w:tcPr>
          <w:p w14:paraId="5F839729"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£’000</w:t>
            </w:r>
          </w:p>
        </w:tc>
        <w:tc>
          <w:tcPr>
            <w:tcW w:w="860" w:type="dxa"/>
            <w:tcBorders>
              <w:top w:val="nil"/>
              <w:left w:val="nil"/>
              <w:bottom w:val="single" w:sz="8" w:space="0" w:color="000000" w:themeColor="text2"/>
              <w:right w:val="single" w:sz="8" w:space="0" w:color="000000" w:themeColor="text2"/>
            </w:tcBorders>
            <w:shd w:val="clear" w:color="auto" w:fill="D0D0D0" w:themeFill="accent2" w:themeFillTint="99"/>
            <w:hideMark/>
          </w:tcPr>
          <w:p w14:paraId="564AE2F3"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£’000</w:t>
            </w:r>
          </w:p>
        </w:tc>
        <w:tc>
          <w:tcPr>
            <w:tcW w:w="1030" w:type="dxa"/>
            <w:tcBorders>
              <w:top w:val="nil"/>
              <w:left w:val="nil"/>
              <w:bottom w:val="single" w:sz="8" w:space="0" w:color="000000" w:themeColor="text2"/>
              <w:right w:val="single" w:sz="8" w:space="0" w:color="000000" w:themeColor="text2"/>
            </w:tcBorders>
            <w:shd w:val="clear" w:color="auto" w:fill="D0D0D0" w:themeFill="accent2" w:themeFillTint="99"/>
            <w:hideMark/>
          </w:tcPr>
          <w:p w14:paraId="11F16311" w14:textId="77777777" w:rsidR="00CF7647" w:rsidRPr="009D7A02" w:rsidRDefault="00CF7647" w:rsidP="00CF7647">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val="en-US" w:eastAsia="en-GB"/>
                <w14:ligatures w14:val="none"/>
              </w:rPr>
              <w:t>£’000</w:t>
            </w:r>
          </w:p>
        </w:tc>
      </w:tr>
      <w:tr w:rsidR="00CF7647" w:rsidRPr="009D7A02" w14:paraId="4907C6DB" w14:textId="77777777" w:rsidTr="16FD5590">
        <w:trPr>
          <w:trHeight w:val="530"/>
        </w:trPr>
        <w:tc>
          <w:tcPr>
            <w:tcW w:w="4104" w:type="dxa"/>
            <w:tcBorders>
              <w:top w:val="nil"/>
              <w:left w:val="single" w:sz="8" w:space="0" w:color="000000" w:themeColor="text2"/>
              <w:bottom w:val="single" w:sz="8" w:space="0" w:color="000000" w:themeColor="text2"/>
              <w:right w:val="single" w:sz="8" w:space="0" w:color="000000" w:themeColor="text2"/>
            </w:tcBorders>
            <w:vAlign w:val="center"/>
            <w:hideMark/>
          </w:tcPr>
          <w:p w14:paraId="5B5CE536" w14:textId="2DCD4508" w:rsidR="00CF7647" w:rsidRPr="009D7A02" w:rsidRDefault="00CF7647" w:rsidP="00CF7647">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UKSPF Additional capital - Allocation for infrastructure project at TIA</w:t>
            </w:r>
          </w:p>
        </w:tc>
        <w:tc>
          <w:tcPr>
            <w:tcW w:w="122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15D22FA6" w14:textId="323B2F4C"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6,500</w:t>
            </w:r>
          </w:p>
        </w:tc>
        <w:tc>
          <w:tcPr>
            <w:tcW w:w="120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3B7A9D6A" w14:textId="44DB0F9E"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Inter Light" w:cs="Inter Light"/>
                <w:color w:val="000000"/>
                <w:kern w:val="0"/>
                <w:sz w:val="20"/>
                <w:szCs w:val="20"/>
                <w:lang w:eastAsia="en-GB"/>
                <w14:ligatures w14:val="none"/>
              </w:rPr>
              <w:t>-</w:t>
            </w:r>
          </w:p>
        </w:tc>
        <w:tc>
          <w:tcPr>
            <w:tcW w:w="9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9F5C87E" w14:textId="498C8306"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86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15197393" w14:textId="294C1F0E"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0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0C73942A" w14:textId="1D8486D1" w:rsidR="00CF7647" w:rsidRPr="002A364D" w:rsidRDefault="00CF7647" w:rsidP="00CF7647">
            <w:pPr>
              <w:jc w:val="right"/>
              <w:rPr>
                <w:rFonts w:eastAsia="Times New Roman" w:cs="Times New Roman"/>
                <w:b/>
                <w:bCs/>
                <w:color w:val="000000"/>
                <w:kern w:val="0"/>
                <w:sz w:val="20"/>
                <w:szCs w:val="20"/>
                <w:lang w:eastAsia="en-GB"/>
                <w14:ligatures w14:val="none"/>
              </w:rPr>
            </w:pPr>
            <w:r w:rsidRPr="002A364D">
              <w:rPr>
                <w:rFonts w:eastAsia="Times New Roman" w:cs="Times New Roman"/>
                <w:b/>
                <w:bCs/>
                <w:color w:val="000000"/>
                <w:kern w:val="0"/>
                <w:sz w:val="20"/>
                <w:szCs w:val="20"/>
                <w:lang w:val="en-US" w:eastAsia="en-GB"/>
                <w14:ligatures w14:val="none"/>
              </w:rPr>
              <w:t>6,500</w:t>
            </w:r>
          </w:p>
        </w:tc>
      </w:tr>
      <w:tr w:rsidR="00CF7647" w:rsidRPr="009D7A02" w14:paraId="57095199" w14:textId="77777777" w:rsidTr="16FD5590">
        <w:trPr>
          <w:trHeight w:val="300"/>
        </w:trPr>
        <w:tc>
          <w:tcPr>
            <w:tcW w:w="4104" w:type="dxa"/>
            <w:tcBorders>
              <w:top w:val="nil"/>
              <w:left w:val="single" w:sz="8" w:space="0" w:color="000000" w:themeColor="text2"/>
              <w:bottom w:val="single" w:sz="8" w:space="0" w:color="000000" w:themeColor="text2"/>
              <w:right w:val="single" w:sz="8" w:space="0" w:color="000000" w:themeColor="text2"/>
            </w:tcBorders>
            <w:vAlign w:val="center"/>
            <w:hideMark/>
          </w:tcPr>
          <w:p w14:paraId="4A6490DB" w14:textId="77777777" w:rsidR="00CF7647" w:rsidRPr="009D7A02" w:rsidRDefault="00CF7647" w:rsidP="00CF7647">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 xml:space="preserve">Borrowing for’ hanger project </w:t>
            </w:r>
          </w:p>
        </w:tc>
        <w:tc>
          <w:tcPr>
            <w:tcW w:w="122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0F15FE79" w14:textId="0BA9A6B3"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6,020</w:t>
            </w:r>
          </w:p>
        </w:tc>
        <w:tc>
          <w:tcPr>
            <w:tcW w:w="120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59D0246C" w14:textId="73ECBE2D"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9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2112337B" w14:textId="0BA88855"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86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524DACE8" w14:textId="60C9DBC5"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0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08EF151B" w14:textId="544299BC" w:rsidR="00CF7647" w:rsidRPr="002A364D" w:rsidRDefault="00CF7647" w:rsidP="00CF7647">
            <w:pPr>
              <w:jc w:val="right"/>
              <w:rPr>
                <w:rFonts w:eastAsia="Times New Roman" w:cs="Times New Roman"/>
                <w:b/>
                <w:bCs/>
                <w:color w:val="000000"/>
                <w:kern w:val="0"/>
                <w:sz w:val="20"/>
                <w:szCs w:val="20"/>
                <w:lang w:eastAsia="en-GB"/>
                <w14:ligatures w14:val="none"/>
              </w:rPr>
            </w:pPr>
            <w:r w:rsidRPr="002A364D">
              <w:rPr>
                <w:rFonts w:eastAsia="Times New Roman" w:cs="Times New Roman"/>
                <w:b/>
                <w:bCs/>
                <w:color w:val="000000"/>
                <w:kern w:val="0"/>
                <w:sz w:val="20"/>
                <w:szCs w:val="20"/>
                <w:lang w:val="en-US" w:eastAsia="en-GB"/>
                <w14:ligatures w14:val="none"/>
              </w:rPr>
              <w:t>6,020</w:t>
            </w:r>
          </w:p>
        </w:tc>
      </w:tr>
      <w:tr w:rsidR="00CF7647" w:rsidRPr="009D7A02" w14:paraId="3FEB3577" w14:textId="77777777" w:rsidTr="16FD5590">
        <w:trPr>
          <w:trHeight w:val="300"/>
        </w:trPr>
        <w:tc>
          <w:tcPr>
            <w:tcW w:w="4104" w:type="dxa"/>
            <w:tcBorders>
              <w:top w:val="nil"/>
              <w:left w:val="single" w:sz="8" w:space="0" w:color="000000" w:themeColor="text2"/>
              <w:bottom w:val="single" w:sz="8" w:space="0" w:color="000000" w:themeColor="text2"/>
              <w:right w:val="single" w:sz="8" w:space="0" w:color="000000" w:themeColor="text2"/>
            </w:tcBorders>
            <w:vAlign w:val="center"/>
            <w:hideMark/>
          </w:tcPr>
          <w:p w14:paraId="1B8C3B8B" w14:textId="77777777" w:rsidR="00CF7647" w:rsidRPr="009D7A02" w:rsidRDefault="00CF7647" w:rsidP="00CF7647">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UKSPF Additional Allocation</w:t>
            </w:r>
          </w:p>
        </w:tc>
        <w:tc>
          <w:tcPr>
            <w:tcW w:w="122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DD4F89E" w14:textId="607E1AA3"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2,066</w:t>
            </w:r>
          </w:p>
        </w:tc>
        <w:tc>
          <w:tcPr>
            <w:tcW w:w="120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1E52BD49" w14:textId="09997F66"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9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73464F8" w14:textId="2AC8D7B1"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2,966</w:t>
            </w:r>
          </w:p>
        </w:tc>
        <w:tc>
          <w:tcPr>
            <w:tcW w:w="86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0127AEC" w14:textId="15CFDF7D"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3,766</w:t>
            </w:r>
          </w:p>
        </w:tc>
        <w:tc>
          <w:tcPr>
            <w:tcW w:w="10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4002A11A" w14:textId="49CEC765" w:rsidR="00CF7647" w:rsidRPr="002A364D" w:rsidRDefault="00CF7647" w:rsidP="00CF7647">
            <w:pPr>
              <w:jc w:val="right"/>
              <w:rPr>
                <w:rFonts w:eastAsia="Times New Roman" w:cs="Times New Roman"/>
                <w:b/>
                <w:bCs/>
                <w:color w:val="000000"/>
                <w:kern w:val="0"/>
                <w:sz w:val="20"/>
                <w:szCs w:val="20"/>
                <w:lang w:eastAsia="en-GB"/>
                <w14:ligatures w14:val="none"/>
              </w:rPr>
            </w:pPr>
            <w:r w:rsidRPr="002A364D">
              <w:rPr>
                <w:rFonts w:eastAsia="Times New Roman" w:cs="Times New Roman"/>
                <w:b/>
                <w:bCs/>
                <w:color w:val="000000"/>
                <w:kern w:val="0"/>
                <w:sz w:val="20"/>
                <w:szCs w:val="20"/>
                <w:lang w:val="en-US" w:eastAsia="en-GB"/>
                <w14:ligatures w14:val="none"/>
              </w:rPr>
              <w:t>8,798</w:t>
            </w:r>
          </w:p>
        </w:tc>
      </w:tr>
      <w:tr w:rsidR="00CF7647" w:rsidRPr="009D7A02" w14:paraId="56C42E64" w14:textId="77777777" w:rsidTr="16FD5590">
        <w:trPr>
          <w:trHeight w:val="300"/>
        </w:trPr>
        <w:tc>
          <w:tcPr>
            <w:tcW w:w="4104" w:type="dxa"/>
            <w:tcBorders>
              <w:top w:val="nil"/>
              <w:left w:val="single" w:sz="8" w:space="0" w:color="000000" w:themeColor="text2"/>
              <w:bottom w:val="single" w:sz="8" w:space="0" w:color="000000" w:themeColor="text2"/>
              <w:right w:val="single" w:sz="8" w:space="0" w:color="000000" w:themeColor="text2"/>
            </w:tcBorders>
            <w:vAlign w:val="center"/>
            <w:hideMark/>
          </w:tcPr>
          <w:p w14:paraId="3D6EF9F6" w14:textId="77777777" w:rsidR="00CF7647" w:rsidRPr="009D7A02" w:rsidRDefault="00CF7647" w:rsidP="00CF7647">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 xml:space="preserve">Adult Skills Fund </w:t>
            </w:r>
          </w:p>
        </w:tc>
        <w:tc>
          <w:tcPr>
            <w:tcW w:w="122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5782323" w14:textId="65247DE3"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Inter Light" w:cs="Inter Light"/>
                <w:color w:val="000000"/>
                <w:kern w:val="0"/>
                <w:sz w:val="20"/>
                <w:szCs w:val="20"/>
                <w:lang w:eastAsia="en-GB"/>
                <w14:ligatures w14:val="none"/>
              </w:rPr>
              <w:t>-</w:t>
            </w:r>
          </w:p>
        </w:tc>
        <w:tc>
          <w:tcPr>
            <w:tcW w:w="120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4CE8EE93" w14:textId="12D1F317"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Inter Light" w:cs="Inter Light"/>
                <w:color w:val="000000"/>
                <w:kern w:val="0"/>
                <w:sz w:val="20"/>
                <w:szCs w:val="20"/>
                <w:lang w:eastAsia="en-GB"/>
                <w14:ligatures w14:val="none"/>
              </w:rPr>
              <w:t>-</w:t>
            </w:r>
          </w:p>
        </w:tc>
        <w:tc>
          <w:tcPr>
            <w:tcW w:w="9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1F1556B8" w14:textId="6AC10DCC"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(4,116)</w:t>
            </w:r>
          </w:p>
        </w:tc>
        <w:tc>
          <w:tcPr>
            <w:tcW w:w="86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10AC981B" w14:textId="795B4C6F"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0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4853ED52" w14:textId="3F008FB0" w:rsidR="00CF7647" w:rsidRPr="002A364D" w:rsidRDefault="00CF7647" w:rsidP="00CF7647">
            <w:pPr>
              <w:jc w:val="right"/>
              <w:rPr>
                <w:rFonts w:eastAsia="Times New Roman" w:cs="Times New Roman"/>
                <w:b/>
                <w:bCs/>
                <w:color w:val="000000"/>
                <w:kern w:val="0"/>
                <w:sz w:val="20"/>
                <w:szCs w:val="20"/>
                <w:lang w:eastAsia="en-GB"/>
                <w14:ligatures w14:val="none"/>
              </w:rPr>
            </w:pPr>
            <w:r w:rsidRPr="002A364D">
              <w:rPr>
                <w:rFonts w:eastAsia="Times New Roman" w:cs="Times New Roman"/>
                <w:b/>
                <w:bCs/>
                <w:color w:val="000000"/>
                <w:kern w:val="0"/>
                <w:sz w:val="20"/>
                <w:szCs w:val="20"/>
                <w:lang w:val="en-US" w:eastAsia="en-GB"/>
                <w14:ligatures w14:val="none"/>
              </w:rPr>
              <w:t>(4,116)</w:t>
            </w:r>
          </w:p>
        </w:tc>
      </w:tr>
      <w:tr w:rsidR="00CF7647" w:rsidRPr="009D7A02" w14:paraId="6A9C7E39" w14:textId="77777777" w:rsidTr="16FD5590">
        <w:trPr>
          <w:trHeight w:val="300"/>
        </w:trPr>
        <w:tc>
          <w:tcPr>
            <w:tcW w:w="4104" w:type="dxa"/>
            <w:tcBorders>
              <w:top w:val="nil"/>
              <w:left w:val="single" w:sz="8" w:space="0" w:color="000000" w:themeColor="text2"/>
              <w:bottom w:val="single" w:sz="8" w:space="0" w:color="000000" w:themeColor="text2"/>
              <w:right w:val="single" w:sz="8" w:space="0" w:color="000000" w:themeColor="text2"/>
            </w:tcBorders>
            <w:vAlign w:val="center"/>
            <w:hideMark/>
          </w:tcPr>
          <w:p w14:paraId="3F3496BB" w14:textId="77777777" w:rsidR="00CF7647" w:rsidRPr="009D7A02" w:rsidRDefault="00CF7647" w:rsidP="00CF7647">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lastRenderedPageBreak/>
              <w:t xml:space="preserve">Connect to work </w:t>
            </w:r>
          </w:p>
        </w:tc>
        <w:tc>
          <w:tcPr>
            <w:tcW w:w="122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5F876D0E" w14:textId="05D2FBFF"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Inter Light" w:cs="Inter Light"/>
                <w:color w:val="000000"/>
                <w:kern w:val="0"/>
                <w:sz w:val="20"/>
                <w:szCs w:val="20"/>
                <w:lang w:eastAsia="en-GB"/>
                <w14:ligatures w14:val="none"/>
              </w:rPr>
              <w:t>-</w:t>
            </w:r>
          </w:p>
        </w:tc>
        <w:tc>
          <w:tcPr>
            <w:tcW w:w="120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96FAC38" w14:textId="0E19FEBA"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Inter Light" w:cs="Inter Light"/>
                <w:color w:val="000000"/>
                <w:kern w:val="0"/>
                <w:sz w:val="20"/>
                <w:szCs w:val="20"/>
                <w:lang w:eastAsia="en-GB"/>
                <w14:ligatures w14:val="none"/>
              </w:rPr>
              <w:t>-</w:t>
            </w:r>
          </w:p>
        </w:tc>
        <w:tc>
          <w:tcPr>
            <w:tcW w:w="9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7C2EBD07" w14:textId="42FCB97F"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10,400</w:t>
            </w:r>
          </w:p>
        </w:tc>
        <w:tc>
          <w:tcPr>
            <w:tcW w:w="86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2816A9D5" w14:textId="28D9D2C3"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0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087E26A0" w14:textId="1E281ED0" w:rsidR="00CF7647" w:rsidRPr="002A364D" w:rsidRDefault="00CF7647" w:rsidP="00CF7647">
            <w:pPr>
              <w:jc w:val="right"/>
              <w:rPr>
                <w:rFonts w:eastAsia="Times New Roman" w:cs="Times New Roman"/>
                <w:b/>
                <w:bCs/>
                <w:color w:val="000000"/>
                <w:kern w:val="0"/>
                <w:sz w:val="20"/>
                <w:szCs w:val="20"/>
                <w:lang w:eastAsia="en-GB"/>
                <w14:ligatures w14:val="none"/>
              </w:rPr>
            </w:pPr>
            <w:r w:rsidRPr="002A364D">
              <w:rPr>
                <w:rFonts w:eastAsia="Times New Roman" w:cs="Times New Roman"/>
                <w:b/>
                <w:bCs/>
                <w:color w:val="000000"/>
                <w:kern w:val="0"/>
                <w:sz w:val="20"/>
                <w:szCs w:val="20"/>
                <w:lang w:val="en-US" w:eastAsia="en-GB"/>
                <w14:ligatures w14:val="none"/>
              </w:rPr>
              <w:t>10,400</w:t>
            </w:r>
          </w:p>
        </w:tc>
      </w:tr>
      <w:tr w:rsidR="00CF7647" w:rsidRPr="009D7A02" w14:paraId="1D0F7B5A" w14:textId="77777777" w:rsidTr="16FD5590">
        <w:trPr>
          <w:trHeight w:val="300"/>
        </w:trPr>
        <w:tc>
          <w:tcPr>
            <w:tcW w:w="4104" w:type="dxa"/>
            <w:tcBorders>
              <w:top w:val="nil"/>
              <w:left w:val="single" w:sz="8" w:space="0" w:color="000000" w:themeColor="text2"/>
              <w:bottom w:val="single" w:sz="8" w:space="0" w:color="000000" w:themeColor="text2"/>
              <w:right w:val="single" w:sz="8" w:space="0" w:color="000000" w:themeColor="text2"/>
            </w:tcBorders>
            <w:vAlign w:val="center"/>
            <w:hideMark/>
          </w:tcPr>
          <w:p w14:paraId="10A33018" w14:textId="77777777" w:rsidR="00CF7647" w:rsidRPr="009D7A02" w:rsidRDefault="00CF7647" w:rsidP="00CF7647">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 xml:space="preserve">Investment Zone </w:t>
            </w:r>
          </w:p>
        </w:tc>
        <w:tc>
          <w:tcPr>
            <w:tcW w:w="122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5F78C4F6" w14:textId="06C4AC03"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Inter Light" w:cs="Inter Light"/>
                <w:color w:val="000000"/>
                <w:kern w:val="0"/>
                <w:sz w:val="20"/>
                <w:szCs w:val="20"/>
                <w:lang w:eastAsia="en-GB"/>
                <w14:ligatures w14:val="none"/>
              </w:rPr>
              <w:t>80,000</w:t>
            </w:r>
          </w:p>
        </w:tc>
        <w:tc>
          <w:tcPr>
            <w:tcW w:w="120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3728ECB5" w14:textId="0E4FCA6A"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9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380D9F57" w14:textId="1CAA6C3A"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Inter Light" w:cs="Inter Light"/>
                <w:color w:val="000000"/>
                <w:kern w:val="0"/>
                <w:sz w:val="20"/>
                <w:szCs w:val="20"/>
                <w:lang w:eastAsia="en-GB"/>
                <w14:ligatures w14:val="none"/>
              </w:rPr>
              <w:t>-</w:t>
            </w:r>
          </w:p>
        </w:tc>
        <w:tc>
          <w:tcPr>
            <w:tcW w:w="86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7DA6A04C" w14:textId="271815C2"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0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7C607FB0" w14:textId="568D682C" w:rsidR="00CF7647" w:rsidRPr="002A364D" w:rsidRDefault="00CF7647" w:rsidP="00CF7647">
            <w:pPr>
              <w:jc w:val="right"/>
              <w:rPr>
                <w:rFonts w:eastAsia="Times New Roman" w:cs="Times New Roman"/>
                <w:b/>
                <w:bCs/>
                <w:color w:val="000000"/>
                <w:kern w:val="0"/>
                <w:sz w:val="20"/>
                <w:szCs w:val="20"/>
                <w:lang w:eastAsia="en-GB"/>
                <w14:ligatures w14:val="none"/>
              </w:rPr>
            </w:pPr>
            <w:r w:rsidRPr="002A364D">
              <w:rPr>
                <w:rFonts w:eastAsia="Inter Light" w:cs="Inter Light"/>
                <w:b/>
                <w:bCs/>
                <w:color w:val="000000"/>
                <w:kern w:val="0"/>
                <w:sz w:val="20"/>
                <w:szCs w:val="20"/>
                <w:lang w:eastAsia="en-GB"/>
                <w14:ligatures w14:val="none"/>
              </w:rPr>
              <w:t>80,000</w:t>
            </w:r>
          </w:p>
        </w:tc>
      </w:tr>
      <w:tr w:rsidR="00CF7647" w:rsidRPr="009D7A02" w14:paraId="65A63A3F" w14:textId="77777777" w:rsidTr="16FD5590">
        <w:trPr>
          <w:trHeight w:val="300"/>
        </w:trPr>
        <w:tc>
          <w:tcPr>
            <w:tcW w:w="4104" w:type="dxa"/>
            <w:tcBorders>
              <w:top w:val="nil"/>
              <w:left w:val="single" w:sz="8" w:space="0" w:color="000000" w:themeColor="text2"/>
              <w:bottom w:val="single" w:sz="8" w:space="0" w:color="000000" w:themeColor="text2"/>
              <w:right w:val="single" w:sz="8" w:space="0" w:color="000000" w:themeColor="text2"/>
            </w:tcBorders>
            <w:vAlign w:val="center"/>
            <w:hideMark/>
          </w:tcPr>
          <w:p w14:paraId="75FBDB46" w14:textId="77777777" w:rsidR="00CF7647" w:rsidRPr="009D7A02" w:rsidRDefault="00CF7647" w:rsidP="00CF7647">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Youth Trailblazer</w:t>
            </w:r>
          </w:p>
        </w:tc>
        <w:tc>
          <w:tcPr>
            <w:tcW w:w="122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5A17F361" w14:textId="3D8EAEEB"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20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3E0C041" w14:textId="7D820FE4"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9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403C6CA8" w14:textId="1529F3D7"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5,000</w:t>
            </w:r>
          </w:p>
        </w:tc>
        <w:tc>
          <w:tcPr>
            <w:tcW w:w="86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9214A36" w14:textId="6762367B"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0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3D28EA03" w14:textId="52879EAE" w:rsidR="00CF7647" w:rsidRPr="002A364D" w:rsidRDefault="00CF7647" w:rsidP="00CF7647">
            <w:pPr>
              <w:jc w:val="right"/>
              <w:rPr>
                <w:rFonts w:eastAsia="Times New Roman" w:cs="Times New Roman"/>
                <w:b/>
                <w:bCs/>
                <w:color w:val="000000"/>
                <w:kern w:val="0"/>
                <w:sz w:val="20"/>
                <w:szCs w:val="20"/>
                <w:lang w:eastAsia="en-GB"/>
                <w14:ligatures w14:val="none"/>
              </w:rPr>
            </w:pPr>
            <w:r w:rsidRPr="002A364D">
              <w:rPr>
                <w:rFonts w:eastAsia="Inter Light" w:cs="Inter Light"/>
                <w:b/>
                <w:bCs/>
                <w:color w:val="000000"/>
                <w:kern w:val="0"/>
                <w:sz w:val="20"/>
                <w:szCs w:val="20"/>
                <w:lang w:eastAsia="en-GB"/>
                <w14:ligatures w14:val="none"/>
              </w:rPr>
              <w:t>5,000</w:t>
            </w:r>
          </w:p>
        </w:tc>
      </w:tr>
      <w:tr w:rsidR="00CF7647" w:rsidRPr="009D7A02" w14:paraId="2B09AA28" w14:textId="77777777" w:rsidTr="16FD5590">
        <w:trPr>
          <w:trHeight w:val="300"/>
        </w:trPr>
        <w:tc>
          <w:tcPr>
            <w:tcW w:w="4104" w:type="dxa"/>
            <w:tcBorders>
              <w:top w:val="nil"/>
              <w:left w:val="single" w:sz="8" w:space="0" w:color="000000" w:themeColor="text2"/>
              <w:bottom w:val="single" w:sz="8" w:space="0" w:color="000000" w:themeColor="text2"/>
              <w:right w:val="single" w:sz="8" w:space="0" w:color="000000" w:themeColor="text2"/>
            </w:tcBorders>
            <w:vAlign w:val="center"/>
            <w:hideMark/>
          </w:tcPr>
          <w:p w14:paraId="351575D4" w14:textId="77777777" w:rsidR="00CF7647" w:rsidRPr="009D7A02" w:rsidRDefault="00CF7647" w:rsidP="00CF7647">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 xml:space="preserve">Intra City Transport </w:t>
            </w:r>
          </w:p>
        </w:tc>
        <w:tc>
          <w:tcPr>
            <w:tcW w:w="122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135611EC" w14:textId="25A48ACD"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20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67FA3E48" w14:textId="213BBBE8"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3,500</w:t>
            </w:r>
          </w:p>
        </w:tc>
        <w:tc>
          <w:tcPr>
            <w:tcW w:w="9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06344F2A" w14:textId="3E9A5350"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86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1FCDAD2A" w14:textId="7EFAD6D3" w:rsidR="00CF7647" w:rsidRPr="009D7A02" w:rsidRDefault="00CF7647" w:rsidP="00CF7647">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val="en-US" w:eastAsia="en-GB"/>
                <w14:ligatures w14:val="none"/>
              </w:rPr>
              <w:t>-</w:t>
            </w:r>
          </w:p>
        </w:tc>
        <w:tc>
          <w:tcPr>
            <w:tcW w:w="1030" w:type="dxa"/>
            <w:tcBorders>
              <w:top w:val="nil"/>
              <w:left w:val="nil"/>
              <w:bottom w:val="single" w:sz="8" w:space="0" w:color="000000" w:themeColor="text2"/>
              <w:right w:val="single" w:sz="8" w:space="0" w:color="000000" w:themeColor="text2"/>
            </w:tcBorders>
            <w:shd w:val="clear" w:color="auto" w:fill="FFFFFF" w:themeFill="background1"/>
            <w:vAlign w:val="center"/>
            <w:hideMark/>
          </w:tcPr>
          <w:p w14:paraId="3078F2DC" w14:textId="3BBBC6FA" w:rsidR="00CF7647" w:rsidRPr="002A364D" w:rsidRDefault="00CF7647" w:rsidP="00CF7647">
            <w:pPr>
              <w:jc w:val="right"/>
              <w:rPr>
                <w:rFonts w:eastAsia="Times New Roman" w:cs="Times New Roman"/>
                <w:b/>
                <w:bCs/>
                <w:color w:val="000000"/>
                <w:kern w:val="0"/>
                <w:sz w:val="20"/>
                <w:szCs w:val="20"/>
                <w:lang w:eastAsia="en-GB"/>
                <w14:ligatures w14:val="none"/>
              </w:rPr>
            </w:pPr>
            <w:r w:rsidRPr="002A364D">
              <w:rPr>
                <w:rFonts w:eastAsia="Inter Light" w:cs="Inter Light"/>
                <w:b/>
                <w:bCs/>
                <w:color w:val="000000"/>
                <w:kern w:val="0"/>
                <w:sz w:val="20"/>
                <w:szCs w:val="20"/>
                <w:lang w:eastAsia="en-GB"/>
                <w14:ligatures w14:val="none"/>
              </w:rPr>
              <w:t>3,500</w:t>
            </w:r>
          </w:p>
        </w:tc>
      </w:tr>
    </w:tbl>
    <w:p w14:paraId="4794D991" w14:textId="77777777" w:rsidR="00CF7647" w:rsidRDefault="00CF7647" w:rsidP="6A191F90">
      <w:pPr>
        <w:pStyle w:val="ListParagraph"/>
        <w:spacing w:line="276" w:lineRule="auto"/>
        <w:ind w:left="0" w:right="140"/>
        <w:rPr>
          <w:rFonts w:ascii="Inter" w:hAnsi="Inter" w:cs="Arial"/>
        </w:rPr>
      </w:pPr>
    </w:p>
    <w:p w14:paraId="1F212DD2" w14:textId="75796FF5" w:rsidR="00C848B7" w:rsidRPr="009D7A02" w:rsidRDefault="00C848B7"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 xml:space="preserve">The </w:t>
      </w:r>
      <w:r w:rsidR="006E6655" w:rsidRPr="2DFE4DF5">
        <w:rPr>
          <w:rFonts w:ascii="Inter" w:hAnsi="Inter" w:cs="Arial"/>
        </w:rPr>
        <w:t xml:space="preserve">Investment Plan </w:t>
      </w:r>
      <w:r w:rsidR="00DE5AB9" w:rsidRPr="2DFE4DF5">
        <w:rPr>
          <w:rFonts w:ascii="Inter" w:hAnsi="Inter" w:cs="Arial"/>
        </w:rPr>
        <w:t xml:space="preserve">table </w:t>
      </w:r>
      <w:r w:rsidRPr="2DFE4DF5">
        <w:rPr>
          <w:rFonts w:ascii="Inter" w:hAnsi="Inter" w:cs="Arial"/>
        </w:rPr>
        <w:t xml:space="preserve">above </w:t>
      </w:r>
      <w:r w:rsidR="00B152D7" w:rsidRPr="2DFE4DF5">
        <w:rPr>
          <w:rFonts w:ascii="Inter" w:hAnsi="Inter" w:cs="Arial"/>
        </w:rPr>
        <w:t xml:space="preserve">has been further </w:t>
      </w:r>
      <w:r w:rsidR="00DE5AB9" w:rsidRPr="2DFE4DF5">
        <w:rPr>
          <w:rFonts w:ascii="Inter" w:hAnsi="Inter" w:cs="Arial"/>
        </w:rPr>
        <w:t>analysed</w:t>
      </w:r>
      <w:r w:rsidR="00B152D7" w:rsidRPr="2DFE4DF5">
        <w:rPr>
          <w:rFonts w:ascii="Inter" w:hAnsi="Inter" w:cs="Arial"/>
        </w:rPr>
        <w:t xml:space="preserve"> </w:t>
      </w:r>
      <w:r w:rsidR="00A91853" w:rsidRPr="2DFE4DF5">
        <w:rPr>
          <w:rFonts w:ascii="Inter" w:hAnsi="Inter" w:cs="Arial"/>
        </w:rPr>
        <w:t xml:space="preserve">to provide a breakdown of </w:t>
      </w:r>
      <w:r w:rsidR="006E6655" w:rsidRPr="2DFE4DF5">
        <w:rPr>
          <w:rFonts w:ascii="Inter" w:hAnsi="Inter" w:cs="Arial"/>
        </w:rPr>
        <w:t>b</w:t>
      </w:r>
      <w:r w:rsidR="00A91853" w:rsidRPr="2DFE4DF5">
        <w:rPr>
          <w:rFonts w:ascii="Inter" w:hAnsi="Inter" w:cs="Arial"/>
        </w:rPr>
        <w:t xml:space="preserve">oth Capital and </w:t>
      </w:r>
      <w:r w:rsidR="00DE5AB9" w:rsidRPr="2DFE4DF5">
        <w:rPr>
          <w:rFonts w:ascii="Inter" w:hAnsi="Inter" w:cs="Arial"/>
        </w:rPr>
        <w:t>Revenue</w:t>
      </w:r>
      <w:r w:rsidR="00A91853" w:rsidRPr="2DFE4DF5">
        <w:rPr>
          <w:rFonts w:ascii="Inter" w:hAnsi="Inter" w:cs="Arial"/>
        </w:rPr>
        <w:t xml:space="preserve"> funding </w:t>
      </w:r>
      <w:r w:rsidR="006D2074" w:rsidRPr="2DFE4DF5">
        <w:rPr>
          <w:rFonts w:ascii="Inter" w:hAnsi="Inter" w:cs="Arial"/>
        </w:rPr>
        <w:t xml:space="preserve">disaggregated across </w:t>
      </w:r>
      <w:r w:rsidR="00DE5AB9" w:rsidRPr="2DFE4DF5">
        <w:rPr>
          <w:rFonts w:ascii="Inter" w:hAnsi="Inter" w:cs="Arial"/>
        </w:rPr>
        <w:t>financial</w:t>
      </w:r>
      <w:r w:rsidR="006D2074" w:rsidRPr="2DFE4DF5">
        <w:rPr>
          <w:rFonts w:ascii="Inter" w:hAnsi="Inter" w:cs="Arial"/>
        </w:rPr>
        <w:t xml:space="preserve"> Years</w:t>
      </w:r>
      <w:r w:rsidR="00DE5AB9" w:rsidRPr="2DFE4DF5">
        <w:rPr>
          <w:rFonts w:ascii="Inter" w:hAnsi="Inter" w:cs="Arial"/>
        </w:rPr>
        <w:t>.</w:t>
      </w:r>
      <w:r w:rsidRPr="2DFE4DF5">
        <w:rPr>
          <w:rFonts w:ascii="Inter" w:hAnsi="Inter" w:cs="Arial"/>
          <w:color w:val="FF0000"/>
        </w:rPr>
        <w:t xml:space="preserve"> </w:t>
      </w:r>
    </w:p>
    <w:p w14:paraId="0F6C7911" w14:textId="77777777" w:rsidR="0074685D" w:rsidRDefault="0074685D" w:rsidP="6A191F90">
      <w:pPr>
        <w:pStyle w:val="ListParagraph"/>
        <w:spacing w:line="276" w:lineRule="auto"/>
        <w:ind w:left="0" w:right="140"/>
        <w:rPr>
          <w:rFonts w:ascii="Inter" w:hAnsi="Inter" w:cs="Arial"/>
        </w:rPr>
      </w:pPr>
    </w:p>
    <w:p w14:paraId="7E6AA6C0" w14:textId="3E5684B1" w:rsidR="00C848B7" w:rsidRPr="009D7A02" w:rsidRDefault="00C848B7" w:rsidP="00C848B7">
      <w:pPr>
        <w:pStyle w:val="ListParagraph"/>
        <w:spacing w:line="276" w:lineRule="auto"/>
        <w:ind w:left="567" w:right="140"/>
        <w:jc w:val="center"/>
        <w:rPr>
          <w:rFonts w:ascii="Inter" w:hAnsi="Inter" w:cs="Arial"/>
          <w:b/>
          <w:bCs/>
        </w:rPr>
      </w:pPr>
      <w:r w:rsidRPr="009D7A02">
        <w:rPr>
          <w:rFonts w:ascii="Inter" w:hAnsi="Inter" w:cs="Arial"/>
          <w:b/>
          <w:bCs/>
        </w:rPr>
        <w:t xml:space="preserve">Table </w:t>
      </w:r>
      <w:r>
        <w:rPr>
          <w:rFonts w:ascii="Inter" w:hAnsi="Inter" w:cs="Arial"/>
          <w:b/>
          <w:bCs/>
        </w:rPr>
        <w:t>11</w:t>
      </w:r>
      <w:r w:rsidRPr="009D7A02">
        <w:rPr>
          <w:rFonts w:ascii="Inter" w:hAnsi="Inter" w:cs="Arial"/>
          <w:b/>
          <w:bCs/>
        </w:rPr>
        <w:t>: Investment Plan amendments (approved by Cabinet March 2025)</w:t>
      </w:r>
    </w:p>
    <w:p w14:paraId="708FA196" w14:textId="77777777" w:rsidR="00A95C69" w:rsidRDefault="00A95C69" w:rsidP="6A191F90">
      <w:pPr>
        <w:pStyle w:val="ListParagraph"/>
        <w:spacing w:line="276" w:lineRule="auto"/>
        <w:ind w:left="0" w:right="140"/>
        <w:rPr>
          <w:rFonts w:ascii="Inter" w:hAnsi="Inter" w:cs="Arial"/>
        </w:rPr>
      </w:pPr>
    </w:p>
    <w:tbl>
      <w:tblPr>
        <w:tblW w:w="9299" w:type="dxa"/>
        <w:tblInd w:w="411" w:type="dxa"/>
        <w:tblLook w:val="04A0" w:firstRow="1" w:lastRow="0" w:firstColumn="1" w:lastColumn="0" w:noHBand="0" w:noVBand="1"/>
      </w:tblPr>
      <w:tblGrid>
        <w:gridCol w:w="3555"/>
        <w:gridCol w:w="1315"/>
        <w:gridCol w:w="1084"/>
        <w:gridCol w:w="1200"/>
        <w:gridCol w:w="1045"/>
        <w:gridCol w:w="1100"/>
      </w:tblGrid>
      <w:tr w:rsidR="00DA3001" w:rsidRPr="00A95C69" w14:paraId="578029B0" w14:textId="77777777" w:rsidTr="7DC21327">
        <w:trPr>
          <w:trHeight w:val="570"/>
        </w:trPr>
        <w:tc>
          <w:tcPr>
            <w:tcW w:w="3555" w:type="dxa"/>
            <w:tcBorders>
              <w:top w:val="single" w:sz="12" w:space="0" w:color="000000" w:themeColor="text2"/>
              <w:left w:val="single" w:sz="12" w:space="0" w:color="000000" w:themeColor="text2"/>
              <w:bottom w:val="nil"/>
              <w:right w:val="single" w:sz="12" w:space="0" w:color="000000" w:themeColor="text2"/>
            </w:tcBorders>
            <w:shd w:val="clear" w:color="auto" w:fill="D0D0D0" w:themeFill="accent2" w:themeFillTint="99"/>
            <w:vAlign w:val="center"/>
            <w:hideMark/>
          </w:tcPr>
          <w:p w14:paraId="05067ABD" w14:textId="4D46FCC3"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Project</w:t>
            </w:r>
            <w:r w:rsidR="00365710" w:rsidRPr="006E6655">
              <w:rPr>
                <w:rFonts w:eastAsia="Times New Roman" w:cs="Times New Roman"/>
                <w:b/>
                <w:bCs/>
                <w:color w:val="000000" w:themeColor="text1"/>
                <w:kern w:val="0"/>
                <w:sz w:val="20"/>
                <w:szCs w:val="20"/>
                <w:lang w:val="en-US" w:eastAsia="en-GB"/>
                <w14:ligatures w14:val="none"/>
              </w:rPr>
              <w:t xml:space="preserve"> </w:t>
            </w:r>
            <w:r w:rsidRPr="00A95C69">
              <w:rPr>
                <w:rFonts w:eastAsia="Times New Roman" w:cs="Times New Roman"/>
                <w:b/>
                <w:bCs/>
                <w:color w:val="000000" w:themeColor="text1"/>
                <w:kern w:val="0"/>
                <w:sz w:val="20"/>
                <w:szCs w:val="20"/>
                <w:lang w:val="en-US" w:eastAsia="en-GB"/>
                <w14:ligatures w14:val="none"/>
              </w:rPr>
              <w:t>Capital</w:t>
            </w:r>
          </w:p>
        </w:tc>
        <w:tc>
          <w:tcPr>
            <w:tcW w:w="1315" w:type="dxa"/>
            <w:tcBorders>
              <w:top w:val="single" w:sz="12" w:space="0" w:color="000000" w:themeColor="text2"/>
              <w:left w:val="nil"/>
              <w:bottom w:val="nil"/>
              <w:right w:val="single" w:sz="12" w:space="0" w:color="000000" w:themeColor="text2"/>
            </w:tcBorders>
            <w:shd w:val="clear" w:color="auto" w:fill="D0D0D0" w:themeFill="accent2" w:themeFillTint="99"/>
            <w:vAlign w:val="center"/>
            <w:hideMark/>
          </w:tcPr>
          <w:p w14:paraId="649F64B9" w14:textId="6551FF72" w:rsidR="00A95C69" w:rsidRPr="00A95C69" w:rsidRDefault="00A95C69" w:rsidP="6EF1387B">
            <w:pPr>
              <w:spacing w:line="259" w:lineRule="auto"/>
              <w:jc w:val="center"/>
              <w:rPr>
                <w:rFonts w:ascii="Calibri" w:eastAsia="Times New Roman" w:hAnsi="Calibri" w:cs="Calibri"/>
                <w:color w:val="000000" w:themeColor="text1"/>
                <w:kern w:val="0"/>
                <w:highlight w:val="lightGray"/>
                <w:lang w:eastAsia="en-GB"/>
                <w14:ligatures w14:val="none"/>
              </w:rPr>
            </w:pPr>
            <w:r w:rsidRPr="6EF1387B">
              <w:rPr>
                <w:rFonts w:ascii="Calibri" w:eastAsia="Times New Roman" w:hAnsi="Calibri" w:cs="Calibri"/>
                <w:highlight w:val="lightGray"/>
                <w:lang w:eastAsia="en-GB"/>
              </w:rPr>
              <w:t>2024/25</w:t>
            </w:r>
          </w:p>
        </w:tc>
        <w:tc>
          <w:tcPr>
            <w:tcW w:w="1084" w:type="dxa"/>
            <w:tcBorders>
              <w:top w:val="single" w:sz="12" w:space="0" w:color="000000" w:themeColor="text2"/>
              <w:left w:val="nil"/>
              <w:bottom w:val="nil"/>
              <w:right w:val="single" w:sz="12" w:space="0" w:color="000000" w:themeColor="text2"/>
            </w:tcBorders>
            <w:shd w:val="clear" w:color="auto" w:fill="E7E6E6"/>
            <w:vAlign w:val="center"/>
            <w:hideMark/>
          </w:tcPr>
          <w:p w14:paraId="51E7F2A9" w14:textId="77777777" w:rsidR="00A95C69" w:rsidRPr="00A95C69" w:rsidRDefault="00A95C69" w:rsidP="00A95C69">
            <w:pPr>
              <w:jc w:val="center"/>
              <w:rPr>
                <w:rFonts w:ascii="Calibri" w:eastAsia="Times New Roman" w:hAnsi="Calibri" w:cs="Calibri"/>
                <w:color w:val="000000" w:themeColor="text1"/>
                <w:kern w:val="0"/>
                <w:highlight w:val="lightGray"/>
                <w:lang w:eastAsia="en-GB"/>
                <w14:ligatures w14:val="none"/>
              </w:rPr>
            </w:pPr>
            <w:r w:rsidRPr="6EF1387B">
              <w:rPr>
                <w:rFonts w:ascii="Calibri" w:eastAsia="Times New Roman" w:hAnsi="Calibri" w:cs="Calibri"/>
                <w:color w:val="000000" w:themeColor="text1"/>
                <w:kern w:val="0"/>
                <w:highlight w:val="lightGray"/>
                <w:lang w:eastAsia="en-GB"/>
                <w14:ligatures w14:val="none"/>
              </w:rPr>
              <w:t>2025/26</w:t>
            </w:r>
          </w:p>
        </w:tc>
        <w:tc>
          <w:tcPr>
            <w:tcW w:w="1200" w:type="dxa"/>
            <w:tcBorders>
              <w:top w:val="single" w:sz="12" w:space="0" w:color="000000" w:themeColor="text2"/>
              <w:left w:val="nil"/>
              <w:bottom w:val="nil"/>
              <w:right w:val="single" w:sz="12" w:space="0" w:color="000000" w:themeColor="text2"/>
            </w:tcBorders>
            <w:shd w:val="clear" w:color="auto" w:fill="E7E6E6"/>
            <w:vAlign w:val="center"/>
            <w:hideMark/>
          </w:tcPr>
          <w:p w14:paraId="4A5514FC" w14:textId="77777777" w:rsidR="00A95C69" w:rsidRPr="00A95C69" w:rsidRDefault="00A95C69" w:rsidP="00A95C69">
            <w:pPr>
              <w:jc w:val="center"/>
              <w:rPr>
                <w:rFonts w:ascii="Calibri" w:eastAsia="Times New Roman" w:hAnsi="Calibri" w:cs="Calibri"/>
                <w:color w:val="000000" w:themeColor="text1"/>
                <w:kern w:val="0"/>
                <w:highlight w:val="lightGray"/>
                <w:lang w:eastAsia="en-GB"/>
                <w14:ligatures w14:val="none"/>
              </w:rPr>
            </w:pPr>
            <w:r w:rsidRPr="6EF1387B">
              <w:rPr>
                <w:rFonts w:ascii="Calibri" w:eastAsia="Times New Roman" w:hAnsi="Calibri" w:cs="Calibri"/>
                <w:color w:val="000000" w:themeColor="text1"/>
                <w:kern w:val="0"/>
                <w:highlight w:val="lightGray"/>
                <w:lang w:eastAsia="en-GB"/>
                <w14:ligatures w14:val="none"/>
              </w:rPr>
              <w:t>2026/27</w:t>
            </w:r>
          </w:p>
        </w:tc>
        <w:tc>
          <w:tcPr>
            <w:tcW w:w="1045" w:type="dxa"/>
            <w:tcBorders>
              <w:top w:val="single" w:sz="12" w:space="0" w:color="000000" w:themeColor="text2"/>
              <w:left w:val="nil"/>
              <w:bottom w:val="nil"/>
              <w:right w:val="single" w:sz="12" w:space="0" w:color="000000" w:themeColor="text2"/>
            </w:tcBorders>
            <w:shd w:val="clear" w:color="auto" w:fill="E7E6E6"/>
            <w:vAlign w:val="center"/>
            <w:hideMark/>
          </w:tcPr>
          <w:p w14:paraId="3D12EE59" w14:textId="77777777" w:rsidR="00A95C69" w:rsidRPr="00A95C69" w:rsidRDefault="00A95C69" w:rsidP="00A95C69">
            <w:pPr>
              <w:jc w:val="center"/>
              <w:rPr>
                <w:rFonts w:ascii="Calibri" w:eastAsia="Times New Roman" w:hAnsi="Calibri" w:cs="Calibri"/>
                <w:color w:val="000000" w:themeColor="text1"/>
                <w:kern w:val="0"/>
                <w:highlight w:val="lightGray"/>
                <w:lang w:eastAsia="en-GB"/>
                <w14:ligatures w14:val="none"/>
              </w:rPr>
            </w:pPr>
            <w:r w:rsidRPr="6EF1387B">
              <w:rPr>
                <w:rFonts w:ascii="Calibri" w:eastAsia="Times New Roman" w:hAnsi="Calibri" w:cs="Calibri"/>
                <w:color w:val="000000" w:themeColor="text1"/>
                <w:kern w:val="0"/>
                <w:highlight w:val="lightGray"/>
                <w:lang w:eastAsia="en-GB"/>
                <w14:ligatures w14:val="none"/>
              </w:rPr>
              <w:t>2027/28</w:t>
            </w:r>
          </w:p>
        </w:tc>
        <w:tc>
          <w:tcPr>
            <w:tcW w:w="1100" w:type="dxa"/>
            <w:tcBorders>
              <w:top w:val="single" w:sz="12" w:space="0" w:color="000000" w:themeColor="text2"/>
              <w:left w:val="nil"/>
              <w:bottom w:val="nil"/>
              <w:right w:val="single" w:sz="12" w:space="0" w:color="000000" w:themeColor="text2"/>
            </w:tcBorders>
            <w:shd w:val="clear" w:color="auto" w:fill="E7E6E6"/>
            <w:vAlign w:val="center"/>
            <w:hideMark/>
          </w:tcPr>
          <w:p w14:paraId="1A4EAE44" w14:textId="77777777" w:rsidR="00A95C69" w:rsidRPr="00A95C69" w:rsidRDefault="00A95C69" w:rsidP="00A95C69">
            <w:pPr>
              <w:jc w:val="center"/>
              <w:rPr>
                <w:rFonts w:ascii="Calibri" w:eastAsia="Times New Roman" w:hAnsi="Calibri" w:cs="Calibri"/>
                <w:color w:val="000000"/>
                <w:kern w:val="0"/>
                <w:highlight w:val="darkGray"/>
                <w:lang w:eastAsia="en-GB"/>
                <w14:ligatures w14:val="none"/>
              </w:rPr>
            </w:pPr>
            <w:r w:rsidRPr="6EF1387B">
              <w:rPr>
                <w:rFonts w:ascii="Calibri" w:eastAsia="Times New Roman" w:hAnsi="Calibri" w:cs="Calibri"/>
                <w:color w:val="000000"/>
                <w:kern w:val="0"/>
                <w:highlight w:val="lightGray"/>
                <w:lang w:eastAsia="en-GB"/>
                <w14:ligatures w14:val="none"/>
              </w:rPr>
              <w:t>2028/29</w:t>
            </w:r>
          </w:p>
        </w:tc>
      </w:tr>
      <w:tr w:rsidR="00DA3001" w:rsidRPr="00A95C69" w14:paraId="36335843" w14:textId="77777777" w:rsidTr="7DC21327">
        <w:trPr>
          <w:trHeight w:val="57"/>
        </w:trPr>
        <w:tc>
          <w:tcPr>
            <w:tcW w:w="3555" w:type="dxa"/>
            <w:tcBorders>
              <w:top w:val="nil"/>
              <w:left w:val="single" w:sz="12" w:space="0" w:color="000000" w:themeColor="text2"/>
              <w:bottom w:val="single" w:sz="8" w:space="0" w:color="000000" w:themeColor="text2"/>
              <w:right w:val="single" w:sz="12" w:space="0" w:color="000000" w:themeColor="text2"/>
            </w:tcBorders>
            <w:shd w:val="clear" w:color="auto" w:fill="D0D0D0" w:themeFill="accent2" w:themeFillTint="99"/>
            <w:vAlign w:val="center"/>
            <w:hideMark/>
          </w:tcPr>
          <w:p w14:paraId="6ACC2D9C"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eastAsia="en-GB"/>
                <w14:ligatures w14:val="none"/>
              </w:rPr>
              <w:t> </w:t>
            </w:r>
          </w:p>
        </w:tc>
        <w:tc>
          <w:tcPr>
            <w:tcW w:w="1315"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35FEB05C" w14:textId="77777777" w:rsidR="00A95C69" w:rsidRPr="00A95C69" w:rsidRDefault="00A95C69" w:rsidP="6EF1387B">
            <w:pPr>
              <w:spacing w:line="259" w:lineRule="auto"/>
              <w:jc w:val="center"/>
              <w:rPr>
                <w:rFonts w:eastAsia="Times New Roman" w:cs="Times New Roman"/>
                <w:b/>
                <w:sz w:val="20"/>
                <w:szCs w:val="20"/>
                <w:lang w:eastAsia="en-GB"/>
              </w:rPr>
            </w:pPr>
            <w:r w:rsidRPr="6EF1387B">
              <w:rPr>
                <w:rFonts w:eastAsia="Times New Roman" w:cs="Times New Roman"/>
                <w:b/>
                <w:sz w:val="20"/>
                <w:szCs w:val="20"/>
                <w:lang w:val="en-US" w:eastAsia="en-GB"/>
              </w:rPr>
              <w:t>£’000</w:t>
            </w:r>
          </w:p>
        </w:tc>
        <w:tc>
          <w:tcPr>
            <w:tcW w:w="1084"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06C0887A"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£’000</w:t>
            </w:r>
          </w:p>
        </w:tc>
        <w:tc>
          <w:tcPr>
            <w:tcW w:w="1200"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234055A3"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£’000</w:t>
            </w:r>
          </w:p>
        </w:tc>
        <w:tc>
          <w:tcPr>
            <w:tcW w:w="1045"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76221339"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£’000</w:t>
            </w:r>
          </w:p>
        </w:tc>
        <w:tc>
          <w:tcPr>
            <w:tcW w:w="1100"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144856B7" w14:textId="77777777" w:rsidR="00A95C69" w:rsidRPr="00D46595" w:rsidRDefault="00A95C69" w:rsidP="00A95C69">
            <w:pPr>
              <w:jc w:val="center"/>
              <w:rPr>
                <w:rFonts w:eastAsia="Times New Roman" w:cs="Times New Roman"/>
                <w:b/>
                <w:color w:val="auto"/>
                <w:kern w:val="0"/>
                <w:sz w:val="20"/>
                <w:szCs w:val="20"/>
                <w:lang w:eastAsia="en-GB"/>
                <w14:ligatures w14:val="none"/>
              </w:rPr>
            </w:pPr>
            <w:r w:rsidRPr="00D46595">
              <w:rPr>
                <w:rFonts w:eastAsia="Times New Roman" w:cs="Times New Roman"/>
                <w:b/>
                <w:color w:val="auto"/>
                <w:kern w:val="0"/>
                <w:sz w:val="20"/>
                <w:szCs w:val="20"/>
                <w:lang w:val="en-US" w:eastAsia="en-GB"/>
                <w14:ligatures w14:val="none"/>
              </w:rPr>
              <w:t>£’000</w:t>
            </w:r>
          </w:p>
        </w:tc>
      </w:tr>
      <w:tr w:rsidR="00DA3001" w:rsidRPr="00A95C69" w14:paraId="0D31B8D0" w14:textId="77777777" w:rsidTr="7DC21327">
        <w:trPr>
          <w:trHeight w:val="20"/>
        </w:trPr>
        <w:tc>
          <w:tcPr>
            <w:tcW w:w="3555" w:type="dxa"/>
            <w:tcBorders>
              <w:top w:val="single" w:sz="8" w:space="0" w:color="000000" w:themeColor="text2"/>
              <w:left w:val="single" w:sz="12" w:space="0" w:color="000000" w:themeColor="text2"/>
              <w:bottom w:val="single" w:sz="6" w:space="0" w:color="000000" w:themeColor="text2"/>
              <w:right w:val="single" w:sz="8" w:space="0" w:color="000000" w:themeColor="text2"/>
            </w:tcBorders>
            <w:vAlign w:val="center"/>
            <w:hideMark/>
          </w:tcPr>
          <w:p w14:paraId="6ACDDB81"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UKSPF Additional capital - Allocation for infrastructure project at TIA</w:t>
            </w:r>
          </w:p>
        </w:tc>
        <w:tc>
          <w:tcPr>
            <w:tcW w:w="1315" w:type="dxa"/>
            <w:tcBorders>
              <w:top w:val="single" w:sz="4" w:space="0" w:color="auto"/>
              <w:left w:val="single" w:sz="12" w:space="0" w:color="auto"/>
              <w:bottom w:val="single" w:sz="4" w:space="0" w:color="auto"/>
              <w:right w:val="single" w:sz="4" w:space="0" w:color="auto"/>
            </w:tcBorders>
            <w:noWrap/>
            <w:vAlign w:val="center"/>
            <w:hideMark/>
          </w:tcPr>
          <w:p w14:paraId="766AC38B" w14:textId="5FF5239E"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84" w:type="dxa"/>
            <w:tcBorders>
              <w:top w:val="single" w:sz="4" w:space="0" w:color="auto"/>
              <w:left w:val="single" w:sz="12" w:space="0" w:color="auto"/>
              <w:bottom w:val="single" w:sz="4" w:space="0" w:color="auto"/>
              <w:right w:val="single" w:sz="4" w:space="0" w:color="auto"/>
            </w:tcBorders>
            <w:noWrap/>
            <w:vAlign w:val="center"/>
            <w:hideMark/>
          </w:tcPr>
          <w:p w14:paraId="78DCAA0C" w14:textId="3DAB6D3D"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6,500</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14:paraId="4474869F" w14:textId="748A8BE8"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45" w:type="dxa"/>
            <w:tcBorders>
              <w:top w:val="single" w:sz="4" w:space="0" w:color="auto"/>
              <w:left w:val="single" w:sz="12" w:space="0" w:color="auto"/>
              <w:bottom w:val="single" w:sz="4" w:space="0" w:color="auto"/>
              <w:right w:val="single" w:sz="4" w:space="0" w:color="auto"/>
            </w:tcBorders>
            <w:noWrap/>
            <w:vAlign w:val="center"/>
            <w:hideMark/>
          </w:tcPr>
          <w:p w14:paraId="455D49C5" w14:textId="02263FD1"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100" w:type="dxa"/>
            <w:tcBorders>
              <w:top w:val="single" w:sz="4" w:space="0" w:color="auto"/>
              <w:left w:val="single" w:sz="12" w:space="0" w:color="auto"/>
              <w:bottom w:val="single" w:sz="4" w:space="0" w:color="auto"/>
              <w:right w:val="single" w:sz="12" w:space="0" w:color="000000" w:themeColor="text2"/>
            </w:tcBorders>
            <w:noWrap/>
            <w:vAlign w:val="center"/>
            <w:hideMark/>
          </w:tcPr>
          <w:p w14:paraId="26E3D366" w14:textId="106AE435" w:rsidR="00A95C69" w:rsidRPr="00D46595" w:rsidRDefault="00A95C69" w:rsidP="00A95C69">
            <w:pPr>
              <w:jc w:val="right"/>
              <w:rPr>
                <w:rFonts w:ascii="Aptos Narrow" w:eastAsia="Times New Roman" w:hAnsi="Aptos Narrow" w:cs="Times New Roman"/>
                <w:color w:val="auto"/>
                <w:kern w:val="0"/>
                <w:szCs w:val="22"/>
                <w:lang w:eastAsia="en-GB"/>
                <w14:ligatures w14:val="none"/>
              </w:rPr>
            </w:pPr>
          </w:p>
        </w:tc>
      </w:tr>
      <w:tr w:rsidR="00DA3001" w:rsidRPr="00A95C69" w14:paraId="11DD65BA" w14:textId="77777777" w:rsidTr="7DC21327">
        <w:trPr>
          <w:trHeight w:val="20"/>
        </w:trPr>
        <w:tc>
          <w:tcPr>
            <w:tcW w:w="3555" w:type="dxa"/>
            <w:tcBorders>
              <w:top w:val="single" w:sz="6" w:space="0" w:color="000000" w:themeColor="text2"/>
              <w:left w:val="single" w:sz="12" w:space="0" w:color="000000" w:themeColor="text2"/>
              <w:bottom w:val="single" w:sz="6" w:space="0" w:color="000000" w:themeColor="text2"/>
              <w:right w:val="single" w:sz="8" w:space="0" w:color="000000" w:themeColor="text2"/>
            </w:tcBorders>
            <w:vAlign w:val="center"/>
            <w:hideMark/>
          </w:tcPr>
          <w:p w14:paraId="478BC559"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 xml:space="preserve">Borrowing for’ hanger project </w:t>
            </w:r>
          </w:p>
        </w:tc>
        <w:tc>
          <w:tcPr>
            <w:tcW w:w="1315" w:type="dxa"/>
            <w:tcBorders>
              <w:top w:val="nil"/>
              <w:left w:val="single" w:sz="12" w:space="0" w:color="auto"/>
              <w:bottom w:val="single" w:sz="4" w:space="0" w:color="auto"/>
              <w:right w:val="single" w:sz="4" w:space="0" w:color="auto"/>
            </w:tcBorders>
            <w:noWrap/>
            <w:vAlign w:val="center"/>
            <w:hideMark/>
          </w:tcPr>
          <w:p w14:paraId="581ED39A" w14:textId="5A644F52"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84" w:type="dxa"/>
            <w:tcBorders>
              <w:top w:val="nil"/>
              <w:left w:val="single" w:sz="12" w:space="0" w:color="auto"/>
              <w:bottom w:val="single" w:sz="4" w:space="0" w:color="auto"/>
              <w:right w:val="single" w:sz="4" w:space="0" w:color="auto"/>
            </w:tcBorders>
            <w:noWrap/>
            <w:vAlign w:val="center"/>
            <w:hideMark/>
          </w:tcPr>
          <w:p w14:paraId="31A8A6D8" w14:textId="7FBE8774"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6,020</w:t>
            </w:r>
          </w:p>
        </w:tc>
        <w:tc>
          <w:tcPr>
            <w:tcW w:w="1200" w:type="dxa"/>
            <w:tcBorders>
              <w:top w:val="nil"/>
              <w:left w:val="single" w:sz="12" w:space="0" w:color="auto"/>
              <w:bottom w:val="single" w:sz="4" w:space="0" w:color="auto"/>
              <w:right w:val="single" w:sz="4" w:space="0" w:color="auto"/>
            </w:tcBorders>
            <w:noWrap/>
            <w:vAlign w:val="center"/>
            <w:hideMark/>
          </w:tcPr>
          <w:p w14:paraId="2E157586" w14:textId="4B5F60E8"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45" w:type="dxa"/>
            <w:tcBorders>
              <w:top w:val="nil"/>
              <w:left w:val="single" w:sz="12" w:space="0" w:color="auto"/>
              <w:bottom w:val="single" w:sz="4" w:space="0" w:color="auto"/>
              <w:right w:val="single" w:sz="4" w:space="0" w:color="auto"/>
            </w:tcBorders>
            <w:noWrap/>
            <w:vAlign w:val="center"/>
            <w:hideMark/>
          </w:tcPr>
          <w:p w14:paraId="084A7358" w14:textId="25157030"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100" w:type="dxa"/>
            <w:tcBorders>
              <w:top w:val="nil"/>
              <w:left w:val="single" w:sz="12" w:space="0" w:color="auto"/>
              <w:bottom w:val="single" w:sz="4" w:space="0" w:color="auto"/>
              <w:right w:val="single" w:sz="12" w:space="0" w:color="000000" w:themeColor="text2"/>
            </w:tcBorders>
            <w:noWrap/>
            <w:vAlign w:val="center"/>
            <w:hideMark/>
          </w:tcPr>
          <w:p w14:paraId="2B37AC65" w14:textId="427D94FD" w:rsidR="00A95C69" w:rsidRPr="00D46595" w:rsidRDefault="00A95C69" w:rsidP="00A95C69">
            <w:pPr>
              <w:jc w:val="right"/>
              <w:rPr>
                <w:rFonts w:ascii="Aptos Narrow" w:eastAsia="Times New Roman" w:hAnsi="Aptos Narrow" w:cs="Times New Roman"/>
                <w:color w:val="auto"/>
                <w:kern w:val="0"/>
                <w:szCs w:val="22"/>
                <w:lang w:eastAsia="en-GB"/>
                <w14:ligatures w14:val="none"/>
              </w:rPr>
            </w:pPr>
          </w:p>
        </w:tc>
      </w:tr>
      <w:tr w:rsidR="00DA3001" w:rsidRPr="00A95C69" w14:paraId="2A302B9A" w14:textId="77777777" w:rsidTr="7DC21327">
        <w:trPr>
          <w:trHeight w:val="20"/>
        </w:trPr>
        <w:tc>
          <w:tcPr>
            <w:tcW w:w="3555" w:type="dxa"/>
            <w:tcBorders>
              <w:top w:val="single" w:sz="6" w:space="0" w:color="000000" w:themeColor="text2"/>
              <w:left w:val="single" w:sz="12" w:space="0" w:color="000000" w:themeColor="text2"/>
              <w:bottom w:val="single" w:sz="6" w:space="0" w:color="000000" w:themeColor="text2"/>
              <w:right w:val="single" w:sz="8" w:space="0" w:color="000000" w:themeColor="text2"/>
            </w:tcBorders>
            <w:vAlign w:val="center"/>
            <w:hideMark/>
          </w:tcPr>
          <w:p w14:paraId="75944B89"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 xml:space="preserve">Investment Zone </w:t>
            </w:r>
          </w:p>
        </w:tc>
        <w:tc>
          <w:tcPr>
            <w:tcW w:w="1315" w:type="dxa"/>
            <w:tcBorders>
              <w:top w:val="nil"/>
              <w:left w:val="single" w:sz="12" w:space="0" w:color="auto"/>
              <w:bottom w:val="single" w:sz="4" w:space="0" w:color="auto"/>
              <w:right w:val="single" w:sz="4" w:space="0" w:color="auto"/>
            </w:tcBorders>
            <w:noWrap/>
            <w:vAlign w:val="center"/>
            <w:hideMark/>
          </w:tcPr>
          <w:p w14:paraId="5522C519" w14:textId="1C10713E"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w:t>
            </w:r>
          </w:p>
        </w:tc>
        <w:tc>
          <w:tcPr>
            <w:tcW w:w="1084" w:type="dxa"/>
            <w:tcBorders>
              <w:top w:val="nil"/>
              <w:left w:val="single" w:sz="12" w:space="0" w:color="auto"/>
              <w:bottom w:val="single" w:sz="4" w:space="0" w:color="auto"/>
              <w:right w:val="single" w:sz="4" w:space="0" w:color="auto"/>
            </w:tcBorders>
            <w:noWrap/>
            <w:vAlign w:val="center"/>
            <w:hideMark/>
          </w:tcPr>
          <w:p w14:paraId="31F03383" w14:textId="3543AD30"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18,470</w:t>
            </w:r>
          </w:p>
        </w:tc>
        <w:tc>
          <w:tcPr>
            <w:tcW w:w="1200" w:type="dxa"/>
            <w:tcBorders>
              <w:top w:val="nil"/>
              <w:left w:val="single" w:sz="12" w:space="0" w:color="auto"/>
              <w:bottom w:val="single" w:sz="4" w:space="0" w:color="auto"/>
              <w:right w:val="single" w:sz="4" w:space="0" w:color="auto"/>
            </w:tcBorders>
            <w:noWrap/>
            <w:vAlign w:val="center"/>
            <w:hideMark/>
          </w:tcPr>
          <w:p w14:paraId="66F503DA" w14:textId="70B478C8"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19,470</w:t>
            </w:r>
          </w:p>
        </w:tc>
        <w:tc>
          <w:tcPr>
            <w:tcW w:w="1045" w:type="dxa"/>
            <w:tcBorders>
              <w:top w:val="nil"/>
              <w:left w:val="single" w:sz="12" w:space="0" w:color="auto"/>
              <w:bottom w:val="single" w:sz="4" w:space="0" w:color="auto"/>
              <w:right w:val="single" w:sz="4" w:space="0" w:color="auto"/>
            </w:tcBorders>
            <w:noWrap/>
            <w:vAlign w:val="center"/>
            <w:hideMark/>
          </w:tcPr>
          <w:p w14:paraId="60A1A52D" w14:textId="36A9914A"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4,470</w:t>
            </w:r>
          </w:p>
        </w:tc>
        <w:tc>
          <w:tcPr>
            <w:tcW w:w="1100" w:type="dxa"/>
            <w:tcBorders>
              <w:top w:val="nil"/>
              <w:left w:val="single" w:sz="12" w:space="0" w:color="auto"/>
              <w:bottom w:val="single" w:sz="4" w:space="0" w:color="auto"/>
              <w:right w:val="single" w:sz="12" w:space="0" w:color="000000" w:themeColor="text2"/>
            </w:tcBorders>
            <w:noWrap/>
            <w:vAlign w:val="center"/>
            <w:hideMark/>
          </w:tcPr>
          <w:p w14:paraId="344A872A" w14:textId="7D5F5FC8" w:rsidR="00A95C69" w:rsidRPr="00D46595" w:rsidRDefault="00A95C69" w:rsidP="00A95C69">
            <w:pPr>
              <w:jc w:val="right"/>
              <w:rPr>
                <w:rFonts w:ascii="Aptos Narrow" w:eastAsia="Times New Roman" w:hAnsi="Aptos Narrow" w:cs="Times New Roman"/>
                <w:color w:val="auto"/>
                <w:kern w:val="0"/>
                <w:szCs w:val="22"/>
                <w:lang w:eastAsia="en-GB"/>
                <w14:ligatures w14:val="none"/>
              </w:rPr>
            </w:pPr>
            <w:r w:rsidRPr="00D46595">
              <w:rPr>
                <w:rFonts w:ascii="Aptos Narrow" w:eastAsia="Times New Roman" w:hAnsi="Aptos Narrow" w:cs="Times New Roman"/>
                <w:color w:val="auto"/>
                <w:kern w:val="0"/>
                <w:szCs w:val="22"/>
                <w:lang w:eastAsia="en-GB"/>
                <w14:ligatures w14:val="none"/>
              </w:rPr>
              <w:t>4,470</w:t>
            </w:r>
          </w:p>
        </w:tc>
      </w:tr>
      <w:tr w:rsidR="00DA3001" w:rsidRPr="00A95C69" w14:paraId="248F4F13" w14:textId="77777777" w:rsidTr="7DC21327">
        <w:trPr>
          <w:trHeight w:val="20"/>
        </w:trPr>
        <w:tc>
          <w:tcPr>
            <w:tcW w:w="3555" w:type="dxa"/>
            <w:tcBorders>
              <w:top w:val="single" w:sz="6" w:space="0" w:color="000000" w:themeColor="text2"/>
              <w:left w:val="single" w:sz="12" w:space="0" w:color="000000" w:themeColor="text2"/>
              <w:bottom w:val="single" w:sz="12" w:space="0" w:color="000000" w:themeColor="text2"/>
              <w:right w:val="single" w:sz="8" w:space="0" w:color="000000" w:themeColor="text2"/>
            </w:tcBorders>
            <w:vAlign w:val="center"/>
            <w:hideMark/>
          </w:tcPr>
          <w:p w14:paraId="15058884"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 xml:space="preserve">Intra City Transport </w:t>
            </w:r>
          </w:p>
        </w:tc>
        <w:tc>
          <w:tcPr>
            <w:tcW w:w="1315" w:type="dxa"/>
            <w:tcBorders>
              <w:top w:val="nil"/>
              <w:left w:val="single" w:sz="12" w:space="0" w:color="auto"/>
              <w:bottom w:val="single" w:sz="12" w:space="0" w:color="000000" w:themeColor="text2"/>
              <w:right w:val="single" w:sz="4" w:space="0" w:color="auto"/>
            </w:tcBorders>
            <w:noWrap/>
            <w:vAlign w:val="center"/>
            <w:hideMark/>
          </w:tcPr>
          <w:p w14:paraId="1052F411" w14:textId="77777777"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 </w:t>
            </w:r>
          </w:p>
        </w:tc>
        <w:tc>
          <w:tcPr>
            <w:tcW w:w="1084" w:type="dxa"/>
            <w:tcBorders>
              <w:top w:val="nil"/>
              <w:left w:val="single" w:sz="12" w:space="0" w:color="auto"/>
              <w:bottom w:val="single" w:sz="12" w:space="0" w:color="000000" w:themeColor="text2"/>
              <w:right w:val="single" w:sz="4" w:space="0" w:color="auto"/>
            </w:tcBorders>
            <w:noWrap/>
            <w:vAlign w:val="center"/>
            <w:hideMark/>
          </w:tcPr>
          <w:p w14:paraId="5969E7EC" w14:textId="3FD7A578"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3,500</w:t>
            </w:r>
          </w:p>
        </w:tc>
        <w:tc>
          <w:tcPr>
            <w:tcW w:w="1200" w:type="dxa"/>
            <w:tcBorders>
              <w:top w:val="nil"/>
              <w:left w:val="single" w:sz="12" w:space="0" w:color="auto"/>
              <w:bottom w:val="single" w:sz="12" w:space="0" w:color="000000" w:themeColor="text2"/>
              <w:right w:val="single" w:sz="4" w:space="0" w:color="auto"/>
            </w:tcBorders>
            <w:noWrap/>
            <w:vAlign w:val="center"/>
            <w:hideMark/>
          </w:tcPr>
          <w:p w14:paraId="4EF327F8" w14:textId="4EF3B0B4"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45" w:type="dxa"/>
            <w:tcBorders>
              <w:top w:val="nil"/>
              <w:left w:val="single" w:sz="12" w:space="0" w:color="auto"/>
              <w:bottom w:val="single" w:sz="12" w:space="0" w:color="000000" w:themeColor="text2"/>
              <w:right w:val="single" w:sz="4" w:space="0" w:color="auto"/>
            </w:tcBorders>
            <w:noWrap/>
            <w:vAlign w:val="center"/>
            <w:hideMark/>
          </w:tcPr>
          <w:p w14:paraId="615129C3" w14:textId="75CEC77F"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100" w:type="dxa"/>
            <w:tcBorders>
              <w:top w:val="nil"/>
              <w:left w:val="single" w:sz="12" w:space="0" w:color="auto"/>
              <w:bottom w:val="single" w:sz="12" w:space="0" w:color="000000" w:themeColor="text2"/>
              <w:right w:val="single" w:sz="12" w:space="0" w:color="000000" w:themeColor="text2"/>
            </w:tcBorders>
            <w:noWrap/>
            <w:vAlign w:val="center"/>
            <w:hideMark/>
          </w:tcPr>
          <w:p w14:paraId="01BC016C" w14:textId="18C858BD" w:rsidR="00A95C69" w:rsidRPr="00A95C69" w:rsidRDefault="00A95C69" w:rsidP="00A95C69">
            <w:pPr>
              <w:jc w:val="right"/>
              <w:rPr>
                <w:rFonts w:ascii="Aptos Narrow" w:eastAsia="Times New Roman" w:hAnsi="Aptos Narrow" w:cs="Times New Roman"/>
                <w:color w:val="FF0000"/>
                <w:kern w:val="0"/>
                <w:szCs w:val="22"/>
                <w:lang w:eastAsia="en-GB"/>
                <w14:ligatures w14:val="none"/>
              </w:rPr>
            </w:pPr>
          </w:p>
        </w:tc>
      </w:tr>
      <w:tr w:rsidR="00DA3001" w:rsidRPr="00A95C69" w14:paraId="7D8946D8" w14:textId="77777777" w:rsidTr="7DC21327">
        <w:trPr>
          <w:trHeight w:val="382"/>
        </w:trPr>
        <w:tc>
          <w:tcPr>
            <w:tcW w:w="3555" w:type="dxa"/>
            <w:tcBorders>
              <w:top w:val="nil"/>
              <w:left w:val="nil"/>
              <w:bottom w:val="nil"/>
              <w:right w:val="nil"/>
            </w:tcBorders>
            <w:noWrap/>
            <w:vAlign w:val="bottom"/>
            <w:hideMark/>
          </w:tcPr>
          <w:p w14:paraId="28D94048" w14:textId="77777777" w:rsidR="00A95C69" w:rsidRPr="00A95C69" w:rsidRDefault="00A95C69" w:rsidP="00A95C69">
            <w:pPr>
              <w:rPr>
                <w:rFonts w:ascii="Aptos Narrow" w:eastAsia="Times New Roman" w:hAnsi="Aptos Narrow" w:cs="Times New Roman"/>
                <w:color w:val="000000" w:themeColor="text1"/>
                <w:kern w:val="0"/>
                <w:szCs w:val="22"/>
                <w:lang w:eastAsia="en-GB"/>
                <w14:ligatures w14:val="none"/>
              </w:rPr>
            </w:pPr>
          </w:p>
        </w:tc>
        <w:tc>
          <w:tcPr>
            <w:tcW w:w="1315" w:type="dxa"/>
            <w:tcBorders>
              <w:top w:val="nil"/>
              <w:left w:val="nil"/>
              <w:bottom w:val="nil"/>
              <w:right w:val="nil"/>
            </w:tcBorders>
            <w:noWrap/>
            <w:vAlign w:val="bottom"/>
            <w:hideMark/>
          </w:tcPr>
          <w:p w14:paraId="3183D35D" w14:textId="77777777" w:rsidR="00A95C69" w:rsidRPr="00A95C69" w:rsidRDefault="00A95C69" w:rsidP="00A95C69">
            <w:pPr>
              <w:rPr>
                <w:rFonts w:ascii="Times New Roman" w:eastAsia="Times New Roman" w:hAnsi="Times New Roman" w:cs="Times New Roman"/>
                <w:color w:val="000000" w:themeColor="text1"/>
                <w:kern w:val="0"/>
                <w:sz w:val="20"/>
                <w:szCs w:val="20"/>
                <w:lang w:eastAsia="en-GB"/>
                <w14:ligatures w14:val="none"/>
              </w:rPr>
            </w:pPr>
          </w:p>
        </w:tc>
        <w:tc>
          <w:tcPr>
            <w:tcW w:w="1084" w:type="dxa"/>
            <w:tcBorders>
              <w:top w:val="nil"/>
              <w:left w:val="nil"/>
              <w:bottom w:val="nil"/>
              <w:right w:val="nil"/>
            </w:tcBorders>
            <w:noWrap/>
            <w:vAlign w:val="bottom"/>
            <w:hideMark/>
          </w:tcPr>
          <w:p w14:paraId="29505C05" w14:textId="77777777" w:rsidR="00A95C69" w:rsidRPr="00A95C69" w:rsidRDefault="00A95C69" w:rsidP="00A95C69">
            <w:pPr>
              <w:rPr>
                <w:rFonts w:ascii="Times New Roman" w:eastAsia="Times New Roman" w:hAnsi="Times New Roman" w:cs="Times New Roman"/>
                <w:color w:val="000000" w:themeColor="text1"/>
                <w:kern w:val="0"/>
                <w:sz w:val="20"/>
                <w:szCs w:val="20"/>
                <w:lang w:eastAsia="en-GB"/>
                <w14:ligatures w14:val="none"/>
              </w:rPr>
            </w:pPr>
          </w:p>
        </w:tc>
        <w:tc>
          <w:tcPr>
            <w:tcW w:w="1200" w:type="dxa"/>
            <w:tcBorders>
              <w:top w:val="nil"/>
              <w:left w:val="nil"/>
              <w:bottom w:val="nil"/>
              <w:right w:val="nil"/>
            </w:tcBorders>
            <w:noWrap/>
            <w:vAlign w:val="bottom"/>
            <w:hideMark/>
          </w:tcPr>
          <w:p w14:paraId="0AE6FF5D" w14:textId="77777777" w:rsidR="00A95C69" w:rsidRPr="00A95C69" w:rsidRDefault="00A95C69" w:rsidP="00A95C69">
            <w:pPr>
              <w:rPr>
                <w:rFonts w:ascii="Times New Roman" w:eastAsia="Times New Roman" w:hAnsi="Times New Roman" w:cs="Times New Roman"/>
                <w:color w:val="000000" w:themeColor="text1"/>
                <w:kern w:val="0"/>
                <w:sz w:val="20"/>
                <w:szCs w:val="20"/>
                <w:lang w:eastAsia="en-GB"/>
                <w14:ligatures w14:val="none"/>
              </w:rPr>
            </w:pPr>
          </w:p>
        </w:tc>
        <w:tc>
          <w:tcPr>
            <w:tcW w:w="1045" w:type="dxa"/>
            <w:tcBorders>
              <w:top w:val="nil"/>
              <w:left w:val="nil"/>
              <w:bottom w:val="nil"/>
              <w:right w:val="nil"/>
            </w:tcBorders>
            <w:noWrap/>
            <w:vAlign w:val="bottom"/>
            <w:hideMark/>
          </w:tcPr>
          <w:p w14:paraId="5ADF5A91" w14:textId="77777777" w:rsidR="00A95C69" w:rsidRPr="00A95C69" w:rsidRDefault="00A95C69" w:rsidP="00A95C69">
            <w:pPr>
              <w:rPr>
                <w:rFonts w:ascii="Times New Roman" w:eastAsia="Times New Roman" w:hAnsi="Times New Roman" w:cs="Times New Roman"/>
                <w:color w:val="000000" w:themeColor="text1"/>
                <w:kern w:val="0"/>
                <w:sz w:val="20"/>
                <w:szCs w:val="20"/>
                <w:lang w:eastAsia="en-GB"/>
                <w14:ligatures w14:val="none"/>
              </w:rPr>
            </w:pPr>
          </w:p>
        </w:tc>
        <w:tc>
          <w:tcPr>
            <w:tcW w:w="1100" w:type="dxa"/>
            <w:tcBorders>
              <w:top w:val="nil"/>
              <w:left w:val="nil"/>
              <w:bottom w:val="nil"/>
              <w:right w:val="nil"/>
            </w:tcBorders>
            <w:noWrap/>
            <w:vAlign w:val="bottom"/>
            <w:hideMark/>
          </w:tcPr>
          <w:p w14:paraId="45A246F7" w14:textId="77777777" w:rsidR="00A95C69" w:rsidRPr="00A95C69" w:rsidRDefault="00A95C69" w:rsidP="00A95C69">
            <w:pPr>
              <w:rPr>
                <w:rFonts w:ascii="Times New Roman" w:eastAsia="Times New Roman" w:hAnsi="Times New Roman" w:cs="Times New Roman"/>
                <w:color w:val="FF0000"/>
                <w:kern w:val="0"/>
                <w:sz w:val="20"/>
                <w:szCs w:val="20"/>
                <w:lang w:eastAsia="en-GB"/>
                <w14:ligatures w14:val="none"/>
              </w:rPr>
            </w:pPr>
          </w:p>
        </w:tc>
      </w:tr>
      <w:tr w:rsidR="006E6655" w:rsidRPr="006E6655" w14:paraId="7F102321" w14:textId="77777777" w:rsidTr="7DC21327">
        <w:trPr>
          <w:trHeight w:val="20"/>
        </w:trPr>
        <w:tc>
          <w:tcPr>
            <w:tcW w:w="3555" w:type="dxa"/>
            <w:tcBorders>
              <w:top w:val="single" w:sz="12" w:space="0" w:color="000000" w:themeColor="text2"/>
              <w:left w:val="single" w:sz="12" w:space="0" w:color="000000" w:themeColor="text2"/>
              <w:bottom w:val="nil"/>
              <w:right w:val="single" w:sz="12" w:space="0" w:color="000000" w:themeColor="text2"/>
            </w:tcBorders>
            <w:shd w:val="clear" w:color="auto" w:fill="D0D0D0" w:themeFill="accent2" w:themeFillTint="99"/>
            <w:vAlign w:val="center"/>
            <w:hideMark/>
          </w:tcPr>
          <w:p w14:paraId="166FD9DC"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Project Revenue</w:t>
            </w:r>
          </w:p>
        </w:tc>
        <w:tc>
          <w:tcPr>
            <w:tcW w:w="1315" w:type="dxa"/>
            <w:tcBorders>
              <w:top w:val="single" w:sz="12" w:space="0" w:color="000000" w:themeColor="text2"/>
              <w:left w:val="nil"/>
              <w:bottom w:val="nil"/>
              <w:right w:val="single" w:sz="12" w:space="0" w:color="000000" w:themeColor="text2"/>
            </w:tcBorders>
            <w:shd w:val="clear" w:color="auto" w:fill="D0D0D0" w:themeFill="accent2" w:themeFillTint="99"/>
            <w:hideMark/>
          </w:tcPr>
          <w:p w14:paraId="6D6EA88F" w14:textId="6551FF72" w:rsidR="00A95C69" w:rsidRPr="00A95C69" w:rsidRDefault="00A95C69" w:rsidP="6EF1387B">
            <w:pPr>
              <w:spacing w:line="259" w:lineRule="auto"/>
              <w:jc w:val="center"/>
              <w:rPr>
                <w:rFonts w:ascii="Calibri" w:eastAsia="Times New Roman" w:hAnsi="Calibri" w:cs="Calibri"/>
                <w:highlight w:val="lightGray"/>
                <w:lang w:eastAsia="en-GB"/>
              </w:rPr>
            </w:pPr>
            <w:r w:rsidRPr="6EF1387B">
              <w:rPr>
                <w:rFonts w:ascii="Calibri" w:eastAsia="Times New Roman" w:hAnsi="Calibri" w:cs="Calibri"/>
                <w:highlight w:val="lightGray"/>
                <w:lang w:eastAsia="en-GB"/>
              </w:rPr>
              <w:t>2024/25</w:t>
            </w:r>
          </w:p>
          <w:p w14:paraId="5C059D78"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p>
        </w:tc>
        <w:tc>
          <w:tcPr>
            <w:tcW w:w="1084" w:type="dxa"/>
            <w:tcBorders>
              <w:top w:val="single" w:sz="12" w:space="0" w:color="000000" w:themeColor="text2"/>
              <w:left w:val="nil"/>
              <w:bottom w:val="nil"/>
              <w:right w:val="single" w:sz="12" w:space="0" w:color="000000" w:themeColor="text2"/>
            </w:tcBorders>
            <w:shd w:val="clear" w:color="auto" w:fill="E7E6E6"/>
            <w:hideMark/>
          </w:tcPr>
          <w:p w14:paraId="5E76E88C" w14:textId="77777777" w:rsidR="00A95C69" w:rsidRPr="00A95C69" w:rsidRDefault="484F43AB" w:rsidP="7DC21327">
            <w:pPr>
              <w:jc w:val="center"/>
              <w:rPr>
                <w:rFonts w:ascii="Calibri" w:eastAsia="Times New Roman" w:hAnsi="Calibri" w:cs="Calibri"/>
                <w:color w:val="000000" w:themeColor="text1"/>
                <w:kern w:val="0"/>
                <w:lang w:eastAsia="en-GB"/>
                <w14:ligatures w14:val="none"/>
              </w:rPr>
            </w:pPr>
            <w:r w:rsidRPr="7DC21327">
              <w:rPr>
                <w:rFonts w:ascii="Calibri" w:eastAsia="Times New Roman" w:hAnsi="Calibri" w:cs="Calibri"/>
                <w:color w:val="000000" w:themeColor="text1"/>
                <w:kern w:val="0"/>
                <w:lang w:eastAsia="en-GB"/>
                <w14:ligatures w14:val="none"/>
              </w:rPr>
              <w:t>2025/26</w:t>
            </w:r>
          </w:p>
        </w:tc>
        <w:tc>
          <w:tcPr>
            <w:tcW w:w="1200" w:type="dxa"/>
            <w:tcBorders>
              <w:top w:val="single" w:sz="12" w:space="0" w:color="000000" w:themeColor="text2"/>
              <w:left w:val="nil"/>
              <w:bottom w:val="nil"/>
              <w:right w:val="single" w:sz="12" w:space="0" w:color="000000" w:themeColor="text2"/>
            </w:tcBorders>
            <w:shd w:val="clear" w:color="auto" w:fill="E7E6E6"/>
            <w:hideMark/>
          </w:tcPr>
          <w:p w14:paraId="12C4288A" w14:textId="77777777" w:rsidR="00A95C69" w:rsidRPr="00A95C69" w:rsidRDefault="484F43AB" w:rsidP="7DC21327">
            <w:pPr>
              <w:jc w:val="center"/>
              <w:rPr>
                <w:rFonts w:ascii="Calibri" w:eastAsia="Times New Roman" w:hAnsi="Calibri" w:cs="Calibri"/>
                <w:color w:val="000000" w:themeColor="text1"/>
                <w:kern w:val="0"/>
                <w:lang w:eastAsia="en-GB"/>
                <w14:ligatures w14:val="none"/>
              </w:rPr>
            </w:pPr>
            <w:r w:rsidRPr="7DC21327">
              <w:rPr>
                <w:rFonts w:ascii="Calibri" w:eastAsia="Times New Roman" w:hAnsi="Calibri" w:cs="Calibri"/>
                <w:color w:val="000000" w:themeColor="text1"/>
                <w:kern w:val="0"/>
                <w:lang w:eastAsia="en-GB"/>
                <w14:ligatures w14:val="none"/>
              </w:rPr>
              <w:t>2026/27</w:t>
            </w:r>
          </w:p>
        </w:tc>
        <w:tc>
          <w:tcPr>
            <w:tcW w:w="1045" w:type="dxa"/>
            <w:tcBorders>
              <w:top w:val="single" w:sz="12" w:space="0" w:color="000000" w:themeColor="text2"/>
              <w:left w:val="nil"/>
              <w:bottom w:val="nil"/>
              <w:right w:val="single" w:sz="12" w:space="0" w:color="000000" w:themeColor="text2"/>
            </w:tcBorders>
            <w:shd w:val="clear" w:color="auto" w:fill="E7E6E6"/>
            <w:hideMark/>
          </w:tcPr>
          <w:p w14:paraId="0A53FC45" w14:textId="77777777" w:rsidR="00A95C69" w:rsidRPr="00A95C69" w:rsidRDefault="484F43AB" w:rsidP="7DC21327">
            <w:pPr>
              <w:jc w:val="center"/>
              <w:rPr>
                <w:rFonts w:ascii="Calibri" w:eastAsia="Times New Roman" w:hAnsi="Calibri" w:cs="Calibri"/>
                <w:color w:val="000000" w:themeColor="text1"/>
                <w:kern w:val="0"/>
                <w:lang w:eastAsia="en-GB"/>
                <w14:ligatures w14:val="none"/>
              </w:rPr>
            </w:pPr>
            <w:r w:rsidRPr="7DC21327">
              <w:rPr>
                <w:rFonts w:ascii="Calibri" w:eastAsia="Times New Roman" w:hAnsi="Calibri" w:cs="Calibri"/>
                <w:color w:val="000000" w:themeColor="text1"/>
                <w:kern w:val="0"/>
                <w:lang w:eastAsia="en-GB"/>
                <w14:ligatures w14:val="none"/>
              </w:rPr>
              <w:t>2027/28</w:t>
            </w:r>
          </w:p>
        </w:tc>
        <w:tc>
          <w:tcPr>
            <w:tcW w:w="1100" w:type="dxa"/>
            <w:tcBorders>
              <w:top w:val="single" w:sz="12" w:space="0" w:color="000000" w:themeColor="text2"/>
              <w:left w:val="nil"/>
              <w:bottom w:val="nil"/>
              <w:right w:val="single" w:sz="12" w:space="0" w:color="000000" w:themeColor="text2"/>
            </w:tcBorders>
            <w:shd w:val="clear" w:color="auto" w:fill="E7E6E6"/>
            <w:hideMark/>
          </w:tcPr>
          <w:p w14:paraId="53019724" w14:textId="77777777" w:rsidR="00A95C69" w:rsidRPr="00A95C69" w:rsidRDefault="484F43AB" w:rsidP="7DC21327">
            <w:pPr>
              <w:jc w:val="center"/>
              <w:rPr>
                <w:rFonts w:ascii="Calibri" w:eastAsia="Times New Roman" w:hAnsi="Calibri" w:cs="Calibri"/>
                <w:color w:val="000000" w:themeColor="text1"/>
                <w:kern w:val="0"/>
                <w:lang w:eastAsia="en-GB"/>
                <w14:ligatures w14:val="none"/>
              </w:rPr>
            </w:pPr>
            <w:r w:rsidRPr="7DC21327">
              <w:rPr>
                <w:rFonts w:ascii="Calibri" w:eastAsia="Times New Roman" w:hAnsi="Calibri" w:cs="Calibri"/>
                <w:color w:val="000000" w:themeColor="text1"/>
                <w:kern w:val="0"/>
                <w:lang w:eastAsia="en-GB"/>
                <w14:ligatures w14:val="none"/>
              </w:rPr>
              <w:t>2028/29</w:t>
            </w:r>
          </w:p>
        </w:tc>
      </w:tr>
      <w:tr w:rsidR="006E6655" w:rsidRPr="006E6655" w14:paraId="2FB02B22" w14:textId="77777777" w:rsidTr="7DC21327">
        <w:trPr>
          <w:trHeight w:val="20"/>
        </w:trPr>
        <w:tc>
          <w:tcPr>
            <w:tcW w:w="3555" w:type="dxa"/>
            <w:tcBorders>
              <w:top w:val="nil"/>
              <w:left w:val="single" w:sz="12" w:space="0" w:color="000000" w:themeColor="text2"/>
              <w:bottom w:val="single" w:sz="8" w:space="0" w:color="000000" w:themeColor="text2"/>
              <w:right w:val="single" w:sz="12" w:space="0" w:color="000000" w:themeColor="text2"/>
            </w:tcBorders>
            <w:shd w:val="clear" w:color="auto" w:fill="D0D0D0" w:themeFill="accent2" w:themeFillTint="99"/>
            <w:vAlign w:val="center"/>
            <w:hideMark/>
          </w:tcPr>
          <w:p w14:paraId="2920AE23"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eastAsia="en-GB"/>
                <w14:ligatures w14:val="none"/>
              </w:rPr>
              <w:t> </w:t>
            </w:r>
          </w:p>
        </w:tc>
        <w:tc>
          <w:tcPr>
            <w:tcW w:w="1315"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65C54603"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£’000</w:t>
            </w:r>
          </w:p>
        </w:tc>
        <w:tc>
          <w:tcPr>
            <w:tcW w:w="1084"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5C1BBE00"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£’000</w:t>
            </w:r>
          </w:p>
        </w:tc>
        <w:tc>
          <w:tcPr>
            <w:tcW w:w="1200"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2F54E8D5"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£’000</w:t>
            </w:r>
          </w:p>
        </w:tc>
        <w:tc>
          <w:tcPr>
            <w:tcW w:w="1045"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6774FD42"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£’000</w:t>
            </w:r>
          </w:p>
        </w:tc>
        <w:tc>
          <w:tcPr>
            <w:tcW w:w="1100" w:type="dxa"/>
            <w:tcBorders>
              <w:top w:val="nil"/>
              <w:left w:val="nil"/>
              <w:bottom w:val="single" w:sz="8" w:space="0" w:color="000000" w:themeColor="text2"/>
              <w:right w:val="single" w:sz="12" w:space="0" w:color="000000" w:themeColor="text2"/>
            </w:tcBorders>
            <w:shd w:val="clear" w:color="auto" w:fill="D0D0D0" w:themeFill="accent2" w:themeFillTint="99"/>
            <w:vAlign w:val="center"/>
            <w:hideMark/>
          </w:tcPr>
          <w:p w14:paraId="0E24AA91" w14:textId="77777777" w:rsidR="00A95C69" w:rsidRPr="00A95C69" w:rsidRDefault="00A95C69" w:rsidP="00A95C69">
            <w:pPr>
              <w:jc w:val="center"/>
              <w:rPr>
                <w:rFonts w:eastAsia="Times New Roman" w:cs="Times New Roman"/>
                <w:b/>
                <w:bCs/>
                <w:color w:val="000000" w:themeColor="text1"/>
                <w:kern w:val="0"/>
                <w:sz w:val="20"/>
                <w:szCs w:val="20"/>
                <w:lang w:eastAsia="en-GB"/>
                <w14:ligatures w14:val="none"/>
              </w:rPr>
            </w:pPr>
            <w:r w:rsidRPr="00A95C69">
              <w:rPr>
                <w:rFonts w:eastAsia="Times New Roman" w:cs="Times New Roman"/>
                <w:b/>
                <w:bCs/>
                <w:color w:val="000000" w:themeColor="text1"/>
                <w:kern w:val="0"/>
                <w:sz w:val="20"/>
                <w:szCs w:val="20"/>
                <w:lang w:val="en-US" w:eastAsia="en-GB"/>
                <w14:ligatures w14:val="none"/>
              </w:rPr>
              <w:t>£’000</w:t>
            </w:r>
          </w:p>
        </w:tc>
      </w:tr>
      <w:tr w:rsidR="006E6655" w:rsidRPr="006E6655" w14:paraId="4FA8C7A1" w14:textId="77777777" w:rsidTr="7DC21327">
        <w:trPr>
          <w:trHeight w:val="20"/>
        </w:trPr>
        <w:tc>
          <w:tcPr>
            <w:tcW w:w="3555" w:type="dxa"/>
            <w:tcBorders>
              <w:top w:val="single" w:sz="8" w:space="0" w:color="000000" w:themeColor="text2"/>
              <w:left w:val="single" w:sz="12" w:space="0" w:color="000000" w:themeColor="text2"/>
              <w:bottom w:val="single" w:sz="6" w:space="0" w:color="000000" w:themeColor="text2"/>
              <w:right w:val="single" w:sz="8" w:space="0" w:color="000000" w:themeColor="text2"/>
            </w:tcBorders>
            <w:vAlign w:val="center"/>
            <w:hideMark/>
          </w:tcPr>
          <w:p w14:paraId="14738282"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UKSPF Additional Allocation</w:t>
            </w:r>
          </w:p>
        </w:tc>
        <w:tc>
          <w:tcPr>
            <w:tcW w:w="1315" w:type="dxa"/>
            <w:tcBorders>
              <w:top w:val="single" w:sz="4" w:space="0" w:color="auto"/>
              <w:left w:val="single" w:sz="12" w:space="0" w:color="auto"/>
              <w:bottom w:val="single" w:sz="4" w:space="0" w:color="auto"/>
              <w:right w:val="single" w:sz="4" w:space="0" w:color="auto"/>
            </w:tcBorders>
            <w:noWrap/>
            <w:vAlign w:val="center"/>
            <w:hideMark/>
          </w:tcPr>
          <w:p w14:paraId="2E626FD2" w14:textId="5900F90A"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84" w:type="dxa"/>
            <w:tcBorders>
              <w:top w:val="single" w:sz="4" w:space="0" w:color="auto"/>
              <w:left w:val="single" w:sz="12" w:space="0" w:color="auto"/>
              <w:bottom w:val="single" w:sz="4" w:space="0" w:color="auto"/>
              <w:right w:val="single" w:sz="4" w:space="0" w:color="auto"/>
            </w:tcBorders>
            <w:noWrap/>
            <w:vAlign w:val="center"/>
            <w:hideMark/>
          </w:tcPr>
          <w:p w14:paraId="1168A6C8" w14:textId="506C9952"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8,798</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14:paraId="76D2F1D0" w14:textId="7142B3FB"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45" w:type="dxa"/>
            <w:tcBorders>
              <w:top w:val="single" w:sz="4" w:space="0" w:color="auto"/>
              <w:left w:val="single" w:sz="12" w:space="0" w:color="auto"/>
              <w:bottom w:val="single" w:sz="4" w:space="0" w:color="auto"/>
              <w:right w:val="single" w:sz="4" w:space="0" w:color="auto"/>
            </w:tcBorders>
            <w:noWrap/>
            <w:vAlign w:val="center"/>
            <w:hideMark/>
          </w:tcPr>
          <w:p w14:paraId="1593AA62" w14:textId="26FF922E"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100" w:type="dxa"/>
            <w:tcBorders>
              <w:top w:val="single" w:sz="4" w:space="0" w:color="auto"/>
              <w:left w:val="single" w:sz="12" w:space="0" w:color="auto"/>
              <w:bottom w:val="single" w:sz="4" w:space="0" w:color="auto"/>
              <w:right w:val="single" w:sz="12" w:space="0" w:color="000000" w:themeColor="text2"/>
            </w:tcBorders>
            <w:noWrap/>
            <w:vAlign w:val="center"/>
            <w:hideMark/>
          </w:tcPr>
          <w:p w14:paraId="5CFC21C7" w14:textId="3597BB10"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r>
      <w:tr w:rsidR="006E6655" w:rsidRPr="006E6655" w14:paraId="47E656C5" w14:textId="77777777" w:rsidTr="7DC21327">
        <w:trPr>
          <w:trHeight w:val="20"/>
        </w:trPr>
        <w:tc>
          <w:tcPr>
            <w:tcW w:w="3555" w:type="dxa"/>
            <w:tcBorders>
              <w:top w:val="single" w:sz="6" w:space="0" w:color="000000" w:themeColor="text2"/>
              <w:left w:val="single" w:sz="12" w:space="0" w:color="000000" w:themeColor="text2"/>
              <w:bottom w:val="single" w:sz="6" w:space="0" w:color="000000" w:themeColor="text2"/>
              <w:right w:val="single" w:sz="8" w:space="0" w:color="000000" w:themeColor="text2"/>
            </w:tcBorders>
            <w:vAlign w:val="center"/>
            <w:hideMark/>
          </w:tcPr>
          <w:p w14:paraId="18FF3A64"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 xml:space="preserve">Adult Skills Fund </w:t>
            </w:r>
          </w:p>
        </w:tc>
        <w:tc>
          <w:tcPr>
            <w:tcW w:w="1315" w:type="dxa"/>
            <w:tcBorders>
              <w:top w:val="nil"/>
              <w:left w:val="single" w:sz="12" w:space="0" w:color="auto"/>
              <w:bottom w:val="single" w:sz="4" w:space="0" w:color="auto"/>
              <w:right w:val="single" w:sz="4" w:space="0" w:color="auto"/>
            </w:tcBorders>
            <w:noWrap/>
            <w:vAlign w:val="center"/>
            <w:hideMark/>
          </w:tcPr>
          <w:p w14:paraId="126FCC12" w14:textId="18F0322D"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84" w:type="dxa"/>
            <w:tcBorders>
              <w:top w:val="nil"/>
              <w:left w:val="single" w:sz="12" w:space="0" w:color="auto"/>
              <w:bottom w:val="single" w:sz="4" w:space="0" w:color="auto"/>
              <w:right w:val="single" w:sz="4" w:space="0" w:color="auto"/>
            </w:tcBorders>
            <w:noWrap/>
            <w:vAlign w:val="center"/>
            <w:hideMark/>
          </w:tcPr>
          <w:p w14:paraId="65F49BCA" w14:textId="0D60E9DC"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(1,029)</w:t>
            </w:r>
          </w:p>
        </w:tc>
        <w:tc>
          <w:tcPr>
            <w:tcW w:w="1200" w:type="dxa"/>
            <w:tcBorders>
              <w:top w:val="nil"/>
              <w:left w:val="single" w:sz="12" w:space="0" w:color="auto"/>
              <w:bottom w:val="single" w:sz="4" w:space="0" w:color="auto"/>
              <w:right w:val="single" w:sz="4" w:space="0" w:color="auto"/>
            </w:tcBorders>
            <w:noWrap/>
            <w:vAlign w:val="center"/>
            <w:hideMark/>
          </w:tcPr>
          <w:p w14:paraId="740978A2" w14:textId="27172062"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(1,029)</w:t>
            </w:r>
          </w:p>
        </w:tc>
        <w:tc>
          <w:tcPr>
            <w:tcW w:w="1045" w:type="dxa"/>
            <w:tcBorders>
              <w:top w:val="nil"/>
              <w:left w:val="single" w:sz="12" w:space="0" w:color="auto"/>
              <w:bottom w:val="single" w:sz="4" w:space="0" w:color="auto"/>
              <w:right w:val="single" w:sz="4" w:space="0" w:color="auto"/>
            </w:tcBorders>
            <w:noWrap/>
            <w:vAlign w:val="center"/>
            <w:hideMark/>
          </w:tcPr>
          <w:p w14:paraId="2A65E067" w14:textId="2AC18DD1"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(1,029)</w:t>
            </w:r>
          </w:p>
        </w:tc>
        <w:tc>
          <w:tcPr>
            <w:tcW w:w="1100" w:type="dxa"/>
            <w:tcBorders>
              <w:top w:val="nil"/>
              <w:left w:val="single" w:sz="12" w:space="0" w:color="auto"/>
              <w:bottom w:val="single" w:sz="4" w:space="0" w:color="auto"/>
              <w:right w:val="single" w:sz="12" w:space="0" w:color="000000" w:themeColor="text2"/>
            </w:tcBorders>
            <w:noWrap/>
            <w:vAlign w:val="center"/>
            <w:hideMark/>
          </w:tcPr>
          <w:p w14:paraId="215EAB82" w14:textId="2E9233F3"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(1,029)</w:t>
            </w:r>
          </w:p>
        </w:tc>
      </w:tr>
      <w:tr w:rsidR="006E6655" w:rsidRPr="006E6655" w14:paraId="7D842511" w14:textId="77777777" w:rsidTr="7DC21327">
        <w:trPr>
          <w:trHeight w:val="20"/>
        </w:trPr>
        <w:tc>
          <w:tcPr>
            <w:tcW w:w="3555" w:type="dxa"/>
            <w:tcBorders>
              <w:top w:val="single" w:sz="6" w:space="0" w:color="000000" w:themeColor="text2"/>
              <w:left w:val="single" w:sz="12" w:space="0" w:color="000000" w:themeColor="text2"/>
              <w:bottom w:val="single" w:sz="6" w:space="0" w:color="000000" w:themeColor="text2"/>
              <w:right w:val="single" w:sz="8" w:space="0" w:color="000000" w:themeColor="text2"/>
            </w:tcBorders>
            <w:vAlign w:val="center"/>
            <w:hideMark/>
          </w:tcPr>
          <w:p w14:paraId="6A9B9469"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 xml:space="preserve">Connect to work </w:t>
            </w:r>
          </w:p>
        </w:tc>
        <w:tc>
          <w:tcPr>
            <w:tcW w:w="1315" w:type="dxa"/>
            <w:tcBorders>
              <w:top w:val="nil"/>
              <w:left w:val="single" w:sz="12" w:space="0" w:color="auto"/>
              <w:bottom w:val="single" w:sz="4" w:space="0" w:color="auto"/>
              <w:right w:val="single" w:sz="4" w:space="0" w:color="auto"/>
            </w:tcBorders>
            <w:noWrap/>
            <w:vAlign w:val="center"/>
            <w:hideMark/>
          </w:tcPr>
          <w:p w14:paraId="6D997FF8" w14:textId="39DFCE90"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84" w:type="dxa"/>
            <w:tcBorders>
              <w:top w:val="nil"/>
              <w:left w:val="single" w:sz="12" w:space="0" w:color="auto"/>
              <w:bottom w:val="single" w:sz="4" w:space="0" w:color="auto"/>
              <w:right w:val="single" w:sz="4" w:space="0" w:color="auto"/>
            </w:tcBorders>
            <w:noWrap/>
            <w:vAlign w:val="center"/>
            <w:hideMark/>
          </w:tcPr>
          <w:p w14:paraId="34CF48A7" w14:textId="08B419A1"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5,200</w:t>
            </w:r>
          </w:p>
        </w:tc>
        <w:tc>
          <w:tcPr>
            <w:tcW w:w="1200" w:type="dxa"/>
            <w:tcBorders>
              <w:top w:val="nil"/>
              <w:left w:val="single" w:sz="12" w:space="0" w:color="auto"/>
              <w:bottom w:val="single" w:sz="4" w:space="0" w:color="auto"/>
              <w:right w:val="single" w:sz="4" w:space="0" w:color="auto"/>
            </w:tcBorders>
            <w:noWrap/>
            <w:vAlign w:val="center"/>
            <w:hideMark/>
          </w:tcPr>
          <w:p w14:paraId="0F22F661" w14:textId="0ACE15CA"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5,200</w:t>
            </w:r>
          </w:p>
        </w:tc>
        <w:tc>
          <w:tcPr>
            <w:tcW w:w="1045" w:type="dxa"/>
            <w:tcBorders>
              <w:top w:val="nil"/>
              <w:left w:val="single" w:sz="12" w:space="0" w:color="auto"/>
              <w:bottom w:val="single" w:sz="4" w:space="0" w:color="auto"/>
              <w:right w:val="single" w:sz="4" w:space="0" w:color="auto"/>
            </w:tcBorders>
            <w:noWrap/>
            <w:vAlign w:val="center"/>
            <w:hideMark/>
          </w:tcPr>
          <w:p w14:paraId="4B529432" w14:textId="1F26AE51"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100" w:type="dxa"/>
            <w:tcBorders>
              <w:top w:val="nil"/>
              <w:left w:val="single" w:sz="12" w:space="0" w:color="auto"/>
              <w:bottom w:val="single" w:sz="4" w:space="0" w:color="auto"/>
              <w:right w:val="single" w:sz="12" w:space="0" w:color="000000" w:themeColor="text2"/>
            </w:tcBorders>
            <w:noWrap/>
            <w:vAlign w:val="center"/>
            <w:hideMark/>
          </w:tcPr>
          <w:p w14:paraId="3A0C1B68" w14:textId="29FA1B4A"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r>
      <w:tr w:rsidR="006E6655" w:rsidRPr="006E6655" w14:paraId="08270D52" w14:textId="77777777" w:rsidTr="7DC21327">
        <w:trPr>
          <w:trHeight w:val="20"/>
        </w:trPr>
        <w:tc>
          <w:tcPr>
            <w:tcW w:w="3555" w:type="dxa"/>
            <w:tcBorders>
              <w:top w:val="single" w:sz="6" w:space="0" w:color="000000" w:themeColor="text2"/>
              <w:left w:val="single" w:sz="12" w:space="0" w:color="000000" w:themeColor="text2"/>
              <w:bottom w:val="single" w:sz="6" w:space="0" w:color="000000" w:themeColor="text2"/>
              <w:right w:val="single" w:sz="8" w:space="0" w:color="000000" w:themeColor="text2"/>
            </w:tcBorders>
            <w:vAlign w:val="center"/>
            <w:hideMark/>
          </w:tcPr>
          <w:p w14:paraId="518EF788"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 xml:space="preserve">Investment Zone </w:t>
            </w:r>
          </w:p>
        </w:tc>
        <w:tc>
          <w:tcPr>
            <w:tcW w:w="1315" w:type="dxa"/>
            <w:tcBorders>
              <w:top w:val="nil"/>
              <w:left w:val="single" w:sz="12" w:space="0" w:color="auto"/>
              <w:bottom w:val="single" w:sz="4" w:space="0" w:color="auto"/>
              <w:right w:val="single" w:sz="4" w:space="0" w:color="auto"/>
            </w:tcBorders>
            <w:noWrap/>
            <w:vAlign w:val="center"/>
            <w:hideMark/>
          </w:tcPr>
          <w:p w14:paraId="74BB0E12" w14:textId="446D04B2"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620</w:t>
            </w:r>
          </w:p>
        </w:tc>
        <w:tc>
          <w:tcPr>
            <w:tcW w:w="1084" w:type="dxa"/>
            <w:tcBorders>
              <w:top w:val="nil"/>
              <w:left w:val="single" w:sz="12" w:space="0" w:color="auto"/>
              <w:bottom w:val="single" w:sz="4" w:space="0" w:color="auto"/>
              <w:right w:val="single" w:sz="4" w:space="0" w:color="auto"/>
            </w:tcBorders>
            <w:noWrap/>
            <w:vAlign w:val="center"/>
            <w:hideMark/>
          </w:tcPr>
          <w:p w14:paraId="4717B76F" w14:textId="7A958DE9"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8,490</w:t>
            </w:r>
          </w:p>
        </w:tc>
        <w:tc>
          <w:tcPr>
            <w:tcW w:w="1200" w:type="dxa"/>
            <w:tcBorders>
              <w:top w:val="nil"/>
              <w:left w:val="single" w:sz="12" w:space="0" w:color="auto"/>
              <w:bottom w:val="single" w:sz="4" w:space="0" w:color="auto"/>
              <w:right w:val="single" w:sz="4" w:space="0" w:color="auto"/>
            </w:tcBorders>
            <w:noWrap/>
            <w:vAlign w:val="center"/>
            <w:hideMark/>
          </w:tcPr>
          <w:p w14:paraId="73E4F091" w14:textId="2CCD05BF"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8,220</w:t>
            </w:r>
          </w:p>
        </w:tc>
        <w:tc>
          <w:tcPr>
            <w:tcW w:w="1045" w:type="dxa"/>
            <w:tcBorders>
              <w:top w:val="nil"/>
              <w:left w:val="single" w:sz="12" w:space="0" w:color="auto"/>
              <w:bottom w:val="single" w:sz="4" w:space="0" w:color="auto"/>
              <w:right w:val="single" w:sz="4" w:space="0" w:color="auto"/>
            </w:tcBorders>
            <w:noWrap/>
            <w:vAlign w:val="center"/>
            <w:hideMark/>
          </w:tcPr>
          <w:p w14:paraId="30EDE350" w14:textId="147D4091"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8,420</w:t>
            </w:r>
          </w:p>
        </w:tc>
        <w:tc>
          <w:tcPr>
            <w:tcW w:w="1100" w:type="dxa"/>
            <w:tcBorders>
              <w:top w:val="nil"/>
              <w:left w:val="single" w:sz="12" w:space="0" w:color="auto"/>
              <w:bottom w:val="single" w:sz="4" w:space="0" w:color="auto"/>
              <w:right w:val="single" w:sz="12" w:space="0" w:color="000000" w:themeColor="text2"/>
            </w:tcBorders>
            <w:noWrap/>
            <w:vAlign w:val="center"/>
            <w:hideMark/>
          </w:tcPr>
          <w:p w14:paraId="313638A0" w14:textId="06B5A999"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7,370</w:t>
            </w:r>
          </w:p>
        </w:tc>
      </w:tr>
      <w:tr w:rsidR="006E6655" w:rsidRPr="006E6655" w14:paraId="3A2CBC1E" w14:textId="77777777" w:rsidTr="7DC21327">
        <w:trPr>
          <w:trHeight w:val="20"/>
        </w:trPr>
        <w:tc>
          <w:tcPr>
            <w:tcW w:w="3555" w:type="dxa"/>
            <w:tcBorders>
              <w:top w:val="single" w:sz="6" w:space="0" w:color="000000" w:themeColor="text2"/>
              <w:left w:val="single" w:sz="12" w:space="0" w:color="000000" w:themeColor="text2"/>
              <w:bottom w:val="single" w:sz="12" w:space="0" w:color="000000" w:themeColor="text2"/>
              <w:right w:val="single" w:sz="8" w:space="0" w:color="000000" w:themeColor="text2"/>
            </w:tcBorders>
            <w:vAlign w:val="center"/>
            <w:hideMark/>
          </w:tcPr>
          <w:p w14:paraId="5D36C94C" w14:textId="77777777" w:rsidR="00A95C69" w:rsidRPr="00A95C69" w:rsidRDefault="00A95C69" w:rsidP="00A95C69">
            <w:pPr>
              <w:rPr>
                <w:rFonts w:eastAsia="Times New Roman" w:cs="Times New Roman"/>
                <w:color w:val="000000" w:themeColor="text1"/>
                <w:kern w:val="0"/>
                <w:sz w:val="20"/>
                <w:szCs w:val="20"/>
                <w:lang w:eastAsia="en-GB"/>
                <w14:ligatures w14:val="none"/>
              </w:rPr>
            </w:pPr>
            <w:r w:rsidRPr="00A95C69">
              <w:rPr>
                <w:rFonts w:eastAsia="Times New Roman" w:cs="Times New Roman"/>
                <w:color w:val="000000" w:themeColor="text1"/>
                <w:kern w:val="0"/>
                <w:sz w:val="20"/>
                <w:szCs w:val="20"/>
                <w:lang w:val="en-US" w:eastAsia="en-GB"/>
                <w14:ligatures w14:val="none"/>
              </w:rPr>
              <w:t>Youth Trailblazer</w:t>
            </w:r>
          </w:p>
        </w:tc>
        <w:tc>
          <w:tcPr>
            <w:tcW w:w="1315" w:type="dxa"/>
            <w:tcBorders>
              <w:top w:val="nil"/>
              <w:left w:val="single" w:sz="12" w:space="0" w:color="auto"/>
              <w:bottom w:val="single" w:sz="12" w:space="0" w:color="000000" w:themeColor="text2"/>
              <w:right w:val="single" w:sz="4" w:space="0" w:color="auto"/>
            </w:tcBorders>
            <w:noWrap/>
            <w:vAlign w:val="center"/>
            <w:hideMark/>
          </w:tcPr>
          <w:p w14:paraId="19D53F87" w14:textId="0238107A"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84" w:type="dxa"/>
            <w:tcBorders>
              <w:top w:val="nil"/>
              <w:left w:val="single" w:sz="12" w:space="0" w:color="auto"/>
              <w:bottom w:val="single" w:sz="12" w:space="0" w:color="000000" w:themeColor="text2"/>
              <w:right w:val="single" w:sz="4" w:space="0" w:color="auto"/>
            </w:tcBorders>
            <w:noWrap/>
            <w:vAlign w:val="center"/>
            <w:hideMark/>
          </w:tcPr>
          <w:p w14:paraId="24F2EC7F" w14:textId="7C17DE2D"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r w:rsidRPr="00A95C69">
              <w:rPr>
                <w:rFonts w:ascii="Aptos Narrow" w:eastAsia="Times New Roman" w:hAnsi="Aptos Narrow" w:cs="Times New Roman"/>
                <w:color w:val="000000" w:themeColor="text1"/>
                <w:kern w:val="0"/>
                <w:szCs w:val="22"/>
                <w:lang w:eastAsia="en-GB"/>
                <w14:ligatures w14:val="none"/>
              </w:rPr>
              <w:t>5,000</w:t>
            </w:r>
          </w:p>
        </w:tc>
        <w:tc>
          <w:tcPr>
            <w:tcW w:w="1200" w:type="dxa"/>
            <w:tcBorders>
              <w:top w:val="nil"/>
              <w:left w:val="single" w:sz="12" w:space="0" w:color="auto"/>
              <w:bottom w:val="single" w:sz="12" w:space="0" w:color="000000" w:themeColor="text2"/>
              <w:right w:val="single" w:sz="4" w:space="0" w:color="auto"/>
            </w:tcBorders>
            <w:noWrap/>
            <w:vAlign w:val="center"/>
            <w:hideMark/>
          </w:tcPr>
          <w:p w14:paraId="16677E6F" w14:textId="3AB34F32"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045" w:type="dxa"/>
            <w:tcBorders>
              <w:top w:val="nil"/>
              <w:left w:val="single" w:sz="12" w:space="0" w:color="auto"/>
              <w:bottom w:val="single" w:sz="12" w:space="0" w:color="000000" w:themeColor="text2"/>
              <w:right w:val="single" w:sz="4" w:space="0" w:color="auto"/>
            </w:tcBorders>
            <w:noWrap/>
            <w:vAlign w:val="center"/>
            <w:hideMark/>
          </w:tcPr>
          <w:p w14:paraId="1B6A27F1" w14:textId="0BF20BE8"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c>
          <w:tcPr>
            <w:tcW w:w="1100" w:type="dxa"/>
            <w:tcBorders>
              <w:top w:val="nil"/>
              <w:left w:val="single" w:sz="12" w:space="0" w:color="auto"/>
              <w:bottom w:val="single" w:sz="12" w:space="0" w:color="000000" w:themeColor="text2"/>
              <w:right w:val="single" w:sz="12" w:space="0" w:color="000000" w:themeColor="text2"/>
            </w:tcBorders>
            <w:noWrap/>
            <w:vAlign w:val="center"/>
            <w:hideMark/>
          </w:tcPr>
          <w:p w14:paraId="528B0431" w14:textId="5FBF757B" w:rsidR="00A95C69" w:rsidRPr="00A95C69" w:rsidRDefault="00A95C69" w:rsidP="00A95C69">
            <w:pPr>
              <w:jc w:val="right"/>
              <w:rPr>
                <w:rFonts w:ascii="Aptos Narrow" w:eastAsia="Times New Roman" w:hAnsi="Aptos Narrow" w:cs="Times New Roman"/>
                <w:color w:val="000000" w:themeColor="text1"/>
                <w:kern w:val="0"/>
                <w:szCs w:val="22"/>
                <w:lang w:eastAsia="en-GB"/>
                <w14:ligatures w14:val="none"/>
              </w:rPr>
            </w:pPr>
          </w:p>
        </w:tc>
      </w:tr>
    </w:tbl>
    <w:p w14:paraId="42F78E5D" w14:textId="77777777" w:rsidR="00A95C69" w:rsidRPr="006E6655" w:rsidRDefault="00A95C69" w:rsidP="6A191F90">
      <w:pPr>
        <w:pStyle w:val="ListParagraph"/>
        <w:spacing w:line="276" w:lineRule="auto"/>
        <w:ind w:left="0" w:right="140"/>
        <w:rPr>
          <w:rFonts w:ascii="Inter" w:hAnsi="Inter" w:cs="Arial"/>
          <w:color w:val="000000" w:themeColor="text1"/>
        </w:rPr>
      </w:pPr>
    </w:p>
    <w:p w14:paraId="2C80F138" w14:textId="77777777" w:rsidR="0074685D" w:rsidRDefault="0074685D" w:rsidP="6A191F90">
      <w:pPr>
        <w:pStyle w:val="ListParagraph"/>
        <w:spacing w:line="276" w:lineRule="auto"/>
        <w:ind w:left="0" w:right="140"/>
        <w:rPr>
          <w:rFonts w:ascii="Inter" w:hAnsi="Inter" w:cs="Arial"/>
        </w:rPr>
      </w:pPr>
    </w:p>
    <w:p w14:paraId="225EC148" w14:textId="22F61DE0" w:rsidR="41590B60" w:rsidRDefault="41590B60" w:rsidP="41590B60">
      <w:pPr>
        <w:spacing w:line="276" w:lineRule="auto"/>
        <w:ind w:right="140"/>
        <w:rPr>
          <w:rFonts w:ascii="Inter" w:hAnsi="Inter" w:cs="Arial"/>
          <w:b/>
          <w:bCs/>
        </w:rPr>
      </w:pPr>
    </w:p>
    <w:p w14:paraId="62E0EC2F" w14:textId="77777777" w:rsidR="00D06EAE" w:rsidRPr="009D7A02" w:rsidRDefault="00D06EAE" w:rsidP="16FD5590">
      <w:pPr>
        <w:pStyle w:val="ListParagraph"/>
        <w:spacing w:line="276" w:lineRule="auto"/>
        <w:ind w:left="567" w:right="140" w:hanging="567"/>
        <w:rPr>
          <w:rFonts w:ascii="Inter" w:hAnsi="Inter" w:cs="Arial"/>
          <w:b/>
          <w:bCs/>
        </w:rPr>
      </w:pPr>
      <w:r w:rsidRPr="009D7A02">
        <w:rPr>
          <w:rFonts w:ascii="Inter" w:hAnsi="Inter" w:cs="Arial"/>
          <w:b/>
          <w:bCs/>
        </w:rPr>
        <w:t>TREASURY MANAGEMENT</w:t>
      </w:r>
    </w:p>
    <w:p w14:paraId="23751CE6" w14:textId="39B80470" w:rsidR="16FD5590" w:rsidRPr="009D7A02" w:rsidRDefault="16FD5590" w:rsidP="16FD5590">
      <w:pPr>
        <w:pStyle w:val="ListParagraph"/>
        <w:spacing w:line="276" w:lineRule="auto"/>
        <w:ind w:left="567" w:right="140" w:hanging="567"/>
        <w:rPr>
          <w:rFonts w:ascii="Inter" w:hAnsi="Inter" w:cs="Arial"/>
          <w:b/>
          <w:bCs/>
        </w:rPr>
      </w:pPr>
    </w:p>
    <w:p w14:paraId="67AA17E5" w14:textId="2CFE894C" w:rsidR="00816A0B" w:rsidRPr="009D7A02" w:rsidRDefault="00816A0B"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TVCA undertakes borrowing to fund long</w:t>
      </w:r>
      <w:r w:rsidR="0F59249C" w:rsidRPr="2DFE4DF5">
        <w:rPr>
          <w:rFonts w:ascii="Inter" w:hAnsi="Inter" w:cs="Arial"/>
        </w:rPr>
        <w:t xml:space="preserve"> </w:t>
      </w:r>
      <w:r w:rsidRPr="2DFE4DF5">
        <w:rPr>
          <w:rFonts w:ascii="Inter" w:hAnsi="Inter" w:cs="Arial"/>
        </w:rPr>
        <w:t>term capital expenditure and capital investment activity in the region. All borrowing, and any subsequent lending, is associated with TVCA’s regeneration and investment strategy in the region and is not undertaken primarily for commercial return.</w:t>
      </w:r>
    </w:p>
    <w:p w14:paraId="612CDC0B" w14:textId="77777777" w:rsidR="00816A0B" w:rsidRPr="009D7A02" w:rsidRDefault="00816A0B" w:rsidP="00BE2502">
      <w:pPr>
        <w:pStyle w:val="ListParagraph"/>
        <w:spacing w:line="276" w:lineRule="auto"/>
        <w:ind w:left="567" w:right="140" w:hanging="567"/>
        <w:rPr>
          <w:rFonts w:ascii="Inter" w:hAnsi="Inter" w:cs="Arial"/>
          <w:szCs w:val="22"/>
        </w:rPr>
      </w:pPr>
    </w:p>
    <w:p w14:paraId="0363965E" w14:textId="3968758A" w:rsidR="00816A0B" w:rsidRPr="009D7A02" w:rsidRDefault="00816A0B"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 xml:space="preserve">The extent to which TVCA invests in capital activity in excess of the capital </w:t>
      </w:r>
      <w:r w:rsidR="2930B3D6" w:rsidRPr="2DFE4DF5">
        <w:rPr>
          <w:rFonts w:ascii="Inter" w:hAnsi="Inter" w:cs="Arial"/>
        </w:rPr>
        <w:t xml:space="preserve">grant </w:t>
      </w:r>
      <w:r w:rsidRPr="2DFE4DF5">
        <w:rPr>
          <w:rFonts w:ascii="Inter" w:hAnsi="Inter" w:cs="Arial"/>
        </w:rPr>
        <w:t>funding directly available</w:t>
      </w:r>
      <w:r w:rsidR="31562ABD" w:rsidRPr="2DFE4DF5">
        <w:rPr>
          <w:rFonts w:ascii="Inter" w:hAnsi="Inter" w:cs="Arial"/>
        </w:rPr>
        <w:t xml:space="preserve"> is </w:t>
      </w:r>
      <w:r w:rsidR="6B3DC1B7" w:rsidRPr="2DFE4DF5">
        <w:rPr>
          <w:rFonts w:ascii="Inter" w:hAnsi="Inter" w:cs="Arial"/>
        </w:rPr>
        <w:t>termed the</w:t>
      </w:r>
      <w:r w:rsidR="31562ABD" w:rsidRPr="2DFE4DF5">
        <w:rPr>
          <w:rFonts w:ascii="Inter" w:hAnsi="Inter" w:cs="Arial"/>
        </w:rPr>
        <w:t xml:space="preserve"> Capital Financing Requirement CFR</w:t>
      </w:r>
      <w:r w:rsidRPr="2DFE4DF5">
        <w:rPr>
          <w:rFonts w:ascii="Inter" w:hAnsi="Inter" w:cs="Arial"/>
        </w:rPr>
        <w:t xml:space="preserve"> </w:t>
      </w:r>
      <w:r w:rsidR="203ED12C" w:rsidRPr="2DFE4DF5">
        <w:rPr>
          <w:rFonts w:ascii="Inter" w:hAnsi="Inter" w:cs="Arial"/>
        </w:rPr>
        <w:t>which</w:t>
      </w:r>
      <w:r w:rsidR="1527CD67" w:rsidRPr="2DFE4DF5">
        <w:rPr>
          <w:rFonts w:ascii="Inter" w:hAnsi="Inter" w:cs="Arial"/>
        </w:rPr>
        <w:t xml:space="preserve"> </w:t>
      </w:r>
      <w:r w:rsidR="203ED12C" w:rsidRPr="2DFE4DF5">
        <w:rPr>
          <w:rFonts w:ascii="Inter" w:hAnsi="Inter" w:cs="Arial"/>
        </w:rPr>
        <w:lastRenderedPageBreak/>
        <w:t>represents the underlying need to borrow.</w:t>
      </w:r>
      <w:r w:rsidR="0B506EB4" w:rsidRPr="2DFE4DF5">
        <w:rPr>
          <w:rFonts w:ascii="Inter" w:hAnsi="Inter" w:cs="Arial"/>
        </w:rPr>
        <w:t xml:space="preserve">  </w:t>
      </w:r>
      <w:r w:rsidR="203ED12C" w:rsidRPr="2DFE4DF5">
        <w:rPr>
          <w:rFonts w:ascii="Inter" w:hAnsi="Inter" w:cs="Arial"/>
        </w:rPr>
        <w:t>As the Authority has cash and other balance sheet resources available during the year, these can be used as “internal borr</w:t>
      </w:r>
      <w:r w:rsidR="7C55D5A9" w:rsidRPr="2DFE4DF5">
        <w:rPr>
          <w:rFonts w:ascii="Inter" w:hAnsi="Inter" w:cs="Arial"/>
        </w:rPr>
        <w:t>o</w:t>
      </w:r>
      <w:r w:rsidR="203ED12C" w:rsidRPr="2DFE4DF5">
        <w:rPr>
          <w:rFonts w:ascii="Inter" w:hAnsi="Inter" w:cs="Arial"/>
        </w:rPr>
        <w:t xml:space="preserve">wing” negating the need to </w:t>
      </w:r>
      <w:r w:rsidR="290F47E5" w:rsidRPr="2DFE4DF5">
        <w:rPr>
          <w:rFonts w:ascii="Inter" w:hAnsi="Inter" w:cs="Arial"/>
        </w:rPr>
        <w:t>undertake external borrowing and therefore actual borrowing is often lower than the borrowing requirement</w:t>
      </w:r>
      <w:r w:rsidR="2433479F" w:rsidRPr="2DFE4DF5">
        <w:rPr>
          <w:rFonts w:ascii="Inter" w:hAnsi="Inter" w:cs="Arial"/>
        </w:rPr>
        <w:t xml:space="preserve"> (CFR).   As highlighted above, the CFR also</w:t>
      </w:r>
      <w:r w:rsidRPr="2DFE4DF5">
        <w:rPr>
          <w:rFonts w:ascii="Inter" w:hAnsi="Inter" w:cs="Arial"/>
        </w:rPr>
        <w:t xml:space="preserve"> </w:t>
      </w:r>
      <w:r w:rsidR="2433479F" w:rsidRPr="2DFE4DF5">
        <w:rPr>
          <w:rFonts w:ascii="Inter" w:hAnsi="Inter" w:cs="Arial"/>
        </w:rPr>
        <w:t xml:space="preserve">reduces as </w:t>
      </w:r>
      <w:r w:rsidRPr="2DFE4DF5">
        <w:rPr>
          <w:rFonts w:ascii="Inter" w:hAnsi="Inter" w:cs="Arial"/>
        </w:rPr>
        <w:t xml:space="preserve">Minimum Revenue Provision </w:t>
      </w:r>
      <w:r w:rsidR="5D363A13" w:rsidRPr="2DFE4DF5">
        <w:rPr>
          <w:rFonts w:ascii="Inter" w:hAnsi="Inter" w:cs="Arial"/>
        </w:rPr>
        <w:t xml:space="preserve">is </w:t>
      </w:r>
      <w:r w:rsidRPr="2DFE4DF5">
        <w:rPr>
          <w:rFonts w:ascii="Inter" w:hAnsi="Inter" w:cs="Arial"/>
        </w:rPr>
        <w:t xml:space="preserve">provided </w:t>
      </w:r>
      <w:r w:rsidR="16082C8F" w:rsidRPr="2DFE4DF5">
        <w:rPr>
          <w:rFonts w:ascii="Inter" w:hAnsi="Inter" w:cs="Arial"/>
        </w:rPr>
        <w:t>in the Authority’s revenue budgets</w:t>
      </w:r>
      <w:r w:rsidRPr="2DFE4DF5">
        <w:rPr>
          <w:rFonts w:ascii="Inter" w:hAnsi="Inter" w:cs="Arial"/>
        </w:rPr>
        <w:t>. The table below summarises the anticipated CFR for TVCA over the MTFP period</w:t>
      </w:r>
      <w:r w:rsidR="5A684F5F" w:rsidRPr="2DFE4DF5">
        <w:rPr>
          <w:rFonts w:ascii="Inter" w:hAnsi="Inter" w:cs="Arial"/>
        </w:rPr>
        <w:t xml:space="preserve"> and compares this with actual and forecast borrowing to determine the projected under-borrowed position.</w:t>
      </w:r>
    </w:p>
    <w:p w14:paraId="2A116750" w14:textId="77777777" w:rsidR="00816A0B" w:rsidRPr="009D7A02" w:rsidRDefault="00816A0B" w:rsidP="00816A0B">
      <w:pPr>
        <w:pStyle w:val="ListParagraph"/>
        <w:spacing w:line="276" w:lineRule="auto"/>
        <w:ind w:left="0" w:right="140"/>
        <w:rPr>
          <w:rFonts w:ascii="Inter" w:hAnsi="Inter" w:cs="Arial"/>
        </w:rPr>
      </w:pPr>
    </w:p>
    <w:p w14:paraId="1BB7CC8E" w14:textId="3AB6C937" w:rsidR="6F28CC14" w:rsidRPr="009D7A02" w:rsidRDefault="6F28CC14" w:rsidP="6F28CC14">
      <w:pPr>
        <w:pStyle w:val="ListParagraph"/>
        <w:spacing w:line="276" w:lineRule="auto"/>
        <w:ind w:left="0" w:right="140"/>
        <w:rPr>
          <w:rFonts w:ascii="Inter" w:hAnsi="Inter" w:cs="Arial"/>
        </w:rPr>
      </w:pPr>
    </w:p>
    <w:p w14:paraId="6D8F9BC2" w14:textId="2A85302D" w:rsidR="6606528C" w:rsidRPr="009D7A02" w:rsidRDefault="5316E822" w:rsidP="16FD5590">
      <w:pPr>
        <w:pStyle w:val="ListParagraph"/>
        <w:spacing w:line="276" w:lineRule="auto"/>
        <w:ind w:left="567" w:right="140"/>
        <w:jc w:val="center"/>
        <w:rPr>
          <w:rFonts w:ascii="Inter" w:hAnsi="Inter" w:cs="Arial"/>
          <w:b/>
          <w:bCs/>
        </w:rPr>
      </w:pPr>
      <w:r w:rsidRPr="009D7A02">
        <w:rPr>
          <w:rFonts w:ascii="Inter" w:hAnsi="Inter" w:cs="Arial"/>
          <w:b/>
          <w:bCs/>
        </w:rPr>
        <w:t xml:space="preserve">Table </w:t>
      </w:r>
      <w:r w:rsidR="00264E10">
        <w:rPr>
          <w:rFonts w:ascii="Inter" w:hAnsi="Inter" w:cs="Arial"/>
          <w:b/>
          <w:bCs/>
        </w:rPr>
        <w:t>1</w:t>
      </w:r>
      <w:r w:rsidR="009C75B5">
        <w:rPr>
          <w:rFonts w:ascii="Inter" w:hAnsi="Inter" w:cs="Arial"/>
          <w:b/>
          <w:bCs/>
        </w:rPr>
        <w:t>2</w:t>
      </w:r>
      <w:r w:rsidRPr="009D7A02">
        <w:rPr>
          <w:rFonts w:ascii="Inter" w:hAnsi="Inter" w:cs="Arial"/>
          <w:b/>
          <w:bCs/>
        </w:rPr>
        <w:t xml:space="preserve">: TVCA MTFS Capital Financing Requirement </w:t>
      </w:r>
      <w:r w:rsidR="014BE74A" w:rsidRPr="009D7A02">
        <w:rPr>
          <w:rFonts w:ascii="Inter" w:hAnsi="Inter" w:cs="Arial"/>
          <w:b/>
          <w:bCs/>
        </w:rPr>
        <w:t>v external borrowing forecasts</w:t>
      </w:r>
    </w:p>
    <w:p w14:paraId="397EB037" w14:textId="77777777" w:rsidR="006A5513" w:rsidRPr="009D7A02" w:rsidRDefault="006A5513" w:rsidP="6606528C">
      <w:pPr>
        <w:pStyle w:val="ListParagraph"/>
        <w:spacing w:line="276" w:lineRule="auto"/>
        <w:ind w:left="0" w:right="140"/>
        <w:rPr>
          <w:rFonts w:ascii="Inter" w:hAnsi="Inter" w:cs="Arial"/>
        </w:rPr>
      </w:pPr>
    </w:p>
    <w:tbl>
      <w:tblPr>
        <w:tblW w:w="8148" w:type="dxa"/>
        <w:jc w:val="center"/>
        <w:tblLook w:val="04A0" w:firstRow="1" w:lastRow="0" w:firstColumn="1" w:lastColumn="0" w:noHBand="0" w:noVBand="1"/>
      </w:tblPr>
      <w:tblGrid>
        <w:gridCol w:w="4368"/>
        <w:gridCol w:w="1260"/>
        <w:gridCol w:w="1245"/>
        <w:gridCol w:w="1275"/>
      </w:tblGrid>
      <w:tr w:rsidR="007A0FD0" w:rsidRPr="009D7A02" w14:paraId="193686C6" w14:textId="77777777" w:rsidTr="3FAF0EC3">
        <w:trPr>
          <w:trHeight w:val="20"/>
          <w:jc w:val="center"/>
        </w:trPr>
        <w:tc>
          <w:tcPr>
            <w:tcW w:w="4368" w:type="dxa"/>
            <w:tcBorders>
              <w:top w:val="single" w:sz="12" w:space="0" w:color="auto"/>
              <w:left w:val="single" w:sz="12" w:space="0" w:color="auto"/>
              <w:bottom w:val="nil"/>
              <w:right w:val="single" w:sz="8" w:space="0" w:color="auto"/>
            </w:tcBorders>
            <w:shd w:val="clear" w:color="auto" w:fill="DFDFDF" w:themeFill="accent5" w:themeFillTint="33"/>
            <w:vAlign w:val="center"/>
            <w:hideMark/>
          </w:tcPr>
          <w:p w14:paraId="4F1B1654" w14:textId="77777777"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 </w:t>
            </w:r>
          </w:p>
        </w:tc>
        <w:tc>
          <w:tcPr>
            <w:tcW w:w="1260" w:type="dxa"/>
            <w:tcBorders>
              <w:top w:val="single" w:sz="12" w:space="0" w:color="auto"/>
              <w:left w:val="nil"/>
              <w:bottom w:val="nil"/>
              <w:right w:val="single" w:sz="8" w:space="0" w:color="auto"/>
            </w:tcBorders>
            <w:shd w:val="clear" w:color="auto" w:fill="DFDFDF" w:themeFill="accent5" w:themeFillTint="33"/>
            <w:vAlign w:val="center"/>
            <w:hideMark/>
          </w:tcPr>
          <w:p w14:paraId="5D347E63" w14:textId="77777777" w:rsidR="006A5513" w:rsidRPr="009D7A02" w:rsidRDefault="006A5513" w:rsidP="006A5513">
            <w:pPr>
              <w:jc w:val="center"/>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2026/27</w:t>
            </w:r>
          </w:p>
        </w:tc>
        <w:tc>
          <w:tcPr>
            <w:tcW w:w="1245" w:type="dxa"/>
            <w:tcBorders>
              <w:top w:val="single" w:sz="12" w:space="0" w:color="auto"/>
              <w:left w:val="nil"/>
              <w:bottom w:val="nil"/>
              <w:right w:val="single" w:sz="8" w:space="0" w:color="auto"/>
            </w:tcBorders>
            <w:shd w:val="clear" w:color="auto" w:fill="DFDFDF" w:themeFill="accent5" w:themeFillTint="33"/>
            <w:vAlign w:val="center"/>
            <w:hideMark/>
          </w:tcPr>
          <w:p w14:paraId="41E18F0E" w14:textId="77777777" w:rsidR="006A5513" w:rsidRPr="009D7A02" w:rsidRDefault="006A5513" w:rsidP="006A5513">
            <w:pPr>
              <w:jc w:val="center"/>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2027/28</w:t>
            </w:r>
          </w:p>
        </w:tc>
        <w:tc>
          <w:tcPr>
            <w:tcW w:w="1275" w:type="dxa"/>
            <w:tcBorders>
              <w:top w:val="single" w:sz="12" w:space="0" w:color="auto"/>
              <w:left w:val="nil"/>
              <w:bottom w:val="nil"/>
              <w:right w:val="single" w:sz="12" w:space="0" w:color="auto"/>
            </w:tcBorders>
            <w:shd w:val="clear" w:color="auto" w:fill="DFDFDF" w:themeFill="accent5" w:themeFillTint="33"/>
            <w:vAlign w:val="center"/>
            <w:hideMark/>
          </w:tcPr>
          <w:p w14:paraId="0539E5EE" w14:textId="77777777" w:rsidR="006A5513" w:rsidRPr="009D7A02" w:rsidRDefault="006A5513" w:rsidP="006A5513">
            <w:pPr>
              <w:jc w:val="center"/>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2028/29</w:t>
            </w:r>
          </w:p>
        </w:tc>
      </w:tr>
      <w:tr w:rsidR="007A0FD0" w:rsidRPr="009D7A02" w14:paraId="096C0C65" w14:textId="77777777" w:rsidTr="3FAF0EC3">
        <w:trPr>
          <w:trHeight w:val="20"/>
          <w:jc w:val="center"/>
        </w:trPr>
        <w:tc>
          <w:tcPr>
            <w:tcW w:w="4368" w:type="dxa"/>
            <w:tcBorders>
              <w:top w:val="nil"/>
              <w:left w:val="single" w:sz="12" w:space="0" w:color="auto"/>
              <w:bottom w:val="nil"/>
              <w:right w:val="single" w:sz="8" w:space="0" w:color="auto"/>
            </w:tcBorders>
            <w:shd w:val="clear" w:color="auto" w:fill="DFDFDF" w:themeFill="accent5" w:themeFillTint="33"/>
            <w:vAlign w:val="center"/>
            <w:hideMark/>
          </w:tcPr>
          <w:p w14:paraId="5BDD0CF4" w14:textId="77777777"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 </w:t>
            </w:r>
          </w:p>
        </w:tc>
        <w:tc>
          <w:tcPr>
            <w:tcW w:w="1260" w:type="dxa"/>
            <w:tcBorders>
              <w:top w:val="nil"/>
              <w:left w:val="nil"/>
              <w:bottom w:val="nil"/>
              <w:right w:val="single" w:sz="8" w:space="0" w:color="auto"/>
            </w:tcBorders>
            <w:shd w:val="clear" w:color="auto" w:fill="DFDFDF" w:themeFill="accent5" w:themeFillTint="33"/>
            <w:vAlign w:val="center"/>
            <w:hideMark/>
          </w:tcPr>
          <w:p w14:paraId="4A46E13B" w14:textId="77777777" w:rsidR="006A5513" w:rsidRPr="009D7A02" w:rsidRDefault="006A5513" w:rsidP="006A5513">
            <w:pPr>
              <w:jc w:val="center"/>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£'000</w:t>
            </w:r>
          </w:p>
        </w:tc>
        <w:tc>
          <w:tcPr>
            <w:tcW w:w="1245" w:type="dxa"/>
            <w:tcBorders>
              <w:top w:val="nil"/>
              <w:left w:val="nil"/>
              <w:bottom w:val="nil"/>
              <w:right w:val="single" w:sz="8" w:space="0" w:color="auto"/>
            </w:tcBorders>
            <w:shd w:val="clear" w:color="auto" w:fill="DFDFDF" w:themeFill="accent5" w:themeFillTint="33"/>
            <w:vAlign w:val="center"/>
            <w:hideMark/>
          </w:tcPr>
          <w:p w14:paraId="1C3B6030" w14:textId="77777777" w:rsidR="006A5513" w:rsidRPr="009D7A02" w:rsidRDefault="006A5513" w:rsidP="006A5513">
            <w:pPr>
              <w:jc w:val="center"/>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£'000</w:t>
            </w:r>
          </w:p>
        </w:tc>
        <w:tc>
          <w:tcPr>
            <w:tcW w:w="1275" w:type="dxa"/>
            <w:tcBorders>
              <w:top w:val="nil"/>
              <w:left w:val="nil"/>
              <w:bottom w:val="nil"/>
              <w:right w:val="single" w:sz="12" w:space="0" w:color="auto"/>
            </w:tcBorders>
            <w:shd w:val="clear" w:color="auto" w:fill="DFDFDF" w:themeFill="accent5" w:themeFillTint="33"/>
            <w:vAlign w:val="center"/>
            <w:hideMark/>
          </w:tcPr>
          <w:p w14:paraId="2CE5DD6B" w14:textId="77777777" w:rsidR="006A5513" w:rsidRPr="009D7A02" w:rsidRDefault="006A5513" w:rsidP="006A5513">
            <w:pPr>
              <w:jc w:val="center"/>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£'000</w:t>
            </w:r>
          </w:p>
        </w:tc>
      </w:tr>
      <w:tr w:rsidR="001D715C" w:rsidRPr="009D7A02" w14:paraId="3B54D59B" w14:textId="77777777" w:rsidTr="3FAF0EC3">
        <w:trPr>
          <w:trHeight w:val="20"/>
          <w:jc w:val="center"/>
        </w:trPr>
        <w:tc>
          <w:tcPr>
            <w:tcW w:w="4368" w:type="dxa"/>
            <w:tcBorders>
              <w:top w:val="single" w:sz="12" w:space="0" w:color="auto"/>
              <w:left w:val="single" w:sz="12" w:space="0" w:color="auto"/>
              <w:bottom w:val="single" w:sz="4" w:space="0" w:color="auto"/>
              <w:right w:val="single" w:sz="4" w:space="0" w:color="auto"/>
            </w:tcBorders>
            <w:shd w:val="clear" w:color="auto" w:fill="DFDFDF" w:themeFill="accent5" w:themeFillTint="33"/>
            <w:vAlign w:val="center"/>
            <w:hideMark/>
          </w:tcPr>
          <w:p w14:paraId="11242CDA" w14:textId="77777777" w:rsidR="006A5513" w:rsidRPr="009D7A02" w:rsidRDefault="006A5513" w:rsidP="006A5513">
            <w:pPr>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Opening CFR (capital to be funded by borrowing)</w:t>
            </w:r>
          </w:p>
        </w:tc>
        <w:tc>
          <w:tcPr>
            <w:tcW w:w="1260" w:type="dxa"/>
            <w:tcBorders>
              <w:top w:val="single" w:sz="12" w:space="0" w:color="auto"/>
              <w:left w:val="nil"/>
              <w:bottom w:val="single" w:sz="4" w:space="0" w:color="auto"/>
              <w:right w:val="single" w:sz="4" w:space="0" w:color="auto"/>
            </w:tcBorders>
            <w:vAlign w:val="center"/>
            <w:hideMark/>
          </w:tcPr>
          <w:p w14:paraId="33D9567A" w14:textId="2DB2B06E"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620,616</w:t>
            </w:r>
          </w:p>
        </w:tc>
        <w:tc>
          <w:tcPr>
            <w:tcW w:w="1245" w:type="dxa"/>
            <w:tcBorders>
              <w:top w:val="single" w:sz="12" w:space="0" w:color="auto"/>
              <w:left w:val="nil"/>
              <w:bottom w:val="single" w:sz="4" w:space="0" w:color="auto"/>
              <w:right w:val="single" w:sz="4" w:space="0" w:color="auto"/>
            </w:tcBorders>
            <w:vAlign w:val="center"/>
            <w:hideMark/>
          </w:tcPr>
          <w:p w14:paraId="33D75166" w14:textId="065222F3"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616,357</w:t>
            </w:r>
          </w:p>
        </w:tc>
        <w:tc>
          <w:tcPr>
            <w:tcW w:w="1275" w:type="dxa"/>
            <w:tcBorders>
              <w:top w:val="single" w:sz="12" w:space="0" w:color="auto"/>
              <w:left w:val="nil"/>
              <w:bottom w:val="single" w:sz="4" w:space="0" w:color="auto"/>
              <w:right w:val="single" w:sz="12" w:space="0" w:color="auto"/>
            </w:tcBorders>
            <w:vAlign w:val="center"/>
            <w:hideMark/>
          </w:tcPr>
          <w:p w14:paraId="665A900B" w14:textId="15DCE003"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612,385</w:t>
            </w:r>
          </w:p>
        </w:tc>
      </w:tr>
      <w:tr w:rsidR="007A0FD0" w:rsidRPr="009D7A02" w14:paraId="73BA85C9" w14:textId="77777777" w:rsidTr="3FAF0EC3">
        <w:trPr>
          <w:trHeight w:val="20"/>
          <w:jc w:val="center"/>
        </w:trPr>
        <w:tc>
          <w:tcPr>
            <w:tcW w:w="4368" w:type="dxa"/>
            <w:tcBorders>
              <w:top w:val="nil"/>
              <w:left w:val="single" w:sz="12" w:space="0" w:color="auto"/>
              <w:bottom w:val="single" w:sz="4" w:space="0" w:color="auto"/>
              <w:right w:val="single" w:sz="4" w:space="0" w:color="auto"/>
            </w:tcBorders>
            <w:shd w:val="clear" w:color="auto" w:fill="DFDFDF" w:themeFill="accent5" w:themeFillTint="33"/>
            <w:vAlign w:val="center"/>
            <w:hideMark/>
          </w:tcPr>
          <w:p w14:paraId="40936C75" w14:textId="65E66709" w:rsidR="006A5513" w:rsidRPr="009D7A02" w:rsidRDefault="006A5513" w:rsidP="006A5513">
            <w:pPr>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Existing Loans</w:t>
            </w:r>
            <w:r w:rsidR="00DA2AC4" w:rsidRPr="009D7A02">
              <w:rPr>
                <w:rFonts w:eastAsia="Times New Roman" w:cs="Aptos Narrow"/>
                <w:color w:val="000000"/>
                <w:kern w:val="0"/>
                <w:sz w:val="20"/>
                <w:szCs w:val="20"/>
                <w:lang w:eastAsia="en-GB"/>
                <w14:ligatures w14:val="none"/>
              </w:rPr>
              <w:t xml:space="preserve"> (as at 31-12-2025)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B4937A" w14:textId="3F19D1AF"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(354,764)</w:t>
            </w:r>
          </w:p>
        </w:tc>
        <w:tc>
          <w:tcPr>
            <w:tcW w:w="1245" w:type="dxa"/>
            <w:tcBorders>
              <w:top w:val="single" w:sz="4" w:space="0" w:color="auto"/>
              <w:left w:val="nil"/>
              <w:bottom w:val="single" w:sz="4" w:space="0" w:color="auto"/>
              <w:right w:val="single" w:sz="4" w:space="0" w:color="auto"/>
            </w:tcBorders>
            <w:vAlign w:val="center"/>
            <w:hideMark/>
          </w:tcPr>
          <w:p w14:paraId="148A9A65" w14:textId="4D7F2204"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(344,978)</w:t>
            </w:r>
          </w:p>
        </w:tc>
        <w:tc>
          <w:tcPr>
            <w:tcW w:w="1275" w:type="dxa"/>
            <w:tcBorders>
              <w:top w:val="nil"/>
              <w:left w:val="single" w:sz="4" w:space="0" w:color="auto"/>
              <w:bottom w:val="single" w:sz="4" w:space="0" w:color="auto"/>
              <w:right w:val="single" w:sz="12" w:space="0" w:color="auto"/>
            </w:tcBorders>
            <w:vAlign w:val="center"/>
            <w:hideMark/>
          </w:tcPr>
          <w:p w14:paraId="2451DDE6" w14:textId="03BE87FA"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(338,978)</w:t>
            </w:r>
          </w:p>
        </w:tc>
      </w:tr>
      <w:tr w:rsidR="007A0FD0" w:rsidRPr="009D7A02" w14:paraId="5D978170" w14:textId="77777777" w:rsidTr="3FAF0EC3">
        <w:trPr>
          <w:trHeight w:val="20"/>
          <w:jc w:val="center"/>
        </w:trPr>
        <w:tc>
          <w:tcPr>
            <w:tcW w:w="4368" w:type="dxa"/>
            <w:tcBorders>
              <w:top w:val="nil"/>
              <w:left w:val="single" w:sz="12" w:space="0" w:color="auto"/>
              <w:bottom w:val="single" w:sz="4" w:space="0" w:color="auto"/>
              <w:right w:val="single" w:sz="4" w:space="0" w:color="auto"/>
            </w:tcBorders>
            <w:shd w:val="clear" w:color="auto" w:fill="DFDFDF" w:themeFill="accent5" w:themeFillTint="33"/>
            <w:vAlign w:val="center"/>
            <w:hideMark/>
          </w:tcPr>
          <w:p w14:paraId="55AB69ED" w14:textId="77777777" w:rsidR="006A5513" w:rsidRPr="009D7A02" w:rsidRDefault="006A5513" w:rsidP="006A5513">
            <w:pPr>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Forecast new borrowing to take place in Q4 2025/26</w:t>
            </w:r>
          </w:p>
        </w:tc>
        <w:tc>
          <w:tcPr>
            <w:tcW w:w="1260" w:type="dxa"/>
            <w:tcBorders>
              <w:top w:val="nil"/>
              <w:left w:val="single" w:sz="4" w:space="0" w:color="auto"/>
              <w:bottom w:val="single" w:sz="4" w:space="0" w:color="auto"/>
              <w:right w:val="single" w:sz="4" w:space="0" w:color="auto"/>
            </w:tcBorders>
            <w:vAlign w:val="center"/>
            <w:hideMark/>
          </w:tcPr>
          <w:p w14:paraId="2C0B9752" w14:textId="446E3826"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(100,000)</w:t>
            </w:r>
          </w:p>
        </w:tc>
        <w:tc>
          <w:tcPr>
            <w:tcW w:w="1245" w:type="dxa"/>
            <w:tcBorders>
              <w:top w:val="nil"/>
              <w:left w:val="nil"/>
              <w:bottom w:val="single" w:sz="4" w:space="0" w:color="auto"/>
              <w:right w:val="single" w:sz="4" w:space="0" w:color="auto"/>
            </w:tcBorders>
            <w:vAlign w:val="center"/>
            <w:hideMark/>
          </w:tcPr>
          <w:p w14:paraId="53B8DFAF" w14:textId="1329A555"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(100,000)</w:t>
            </w:r>
          </w:p>
        </w:tc>
        <w:tc>
          <w:tcPr>
            <w:tcW w:w="1275" w:type="dxa"/>
            <w:tcBorders>
              <w:top w:val="nil"/>
              <w:left w:val="single" w:sz="4" w:space="0" w:color="auto"/>
              <w:bottom w:val="single" w:sz="4" w:space="0" w:color="auto"/>
              <w:right w:val="single" w:sz="12" w:space="0" w:color="auto"/>
            </w:tcBorders>
            <w:vAlign w:val="center"/>
            <w:hideMark/>
          </w:tcPr>
          <w:p w14:paraId="766A0D92" w14:textId="20E30191"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(100,000)</w:t>
            </w:r>
          </w:p>
        </w:tc>
      </w:tr>
      <w:tr w:rsidR="007A0FD0" w:rsidRPr="009D7A02" w14:paraId="4FE9A63E" w14:textId="77777777" w:rsidTr="3FAF0EC3">
        <w:trPr>
          <w:trHeight w:val="20"/>
          <w:jc w:val="center"/>
        </w:trPr>
        <w:tc>
          <w:tcPr>
            <w:tcW w:w="4368" w:type="dxa"/>
            <w:tcBorders>
              <w:top w:val="nil"/>
              <w:left w:val="single" w:sz="12" w:space="0" w:color="auto"/>
              <w:bottom w:val="single" w:sz="12" w:space="0" w:color="auto"/>
              <w:right w:val="single" w:sz="4" w:space="0" w:color="auto"/>
            </w:tcBorders>
            <w:shd w:val="clear" w:color="auto" w:fill="DFDFDF" w:themeFill="accent5" w:themeFillTint="33"/>
            <w:vAlign w:val="center"/>
            <w:hideMark/>
          </w:tcPr>
          <w:p w14:paraId="184D9901" w14:textId="77777777" w:rsidR="006A5513" w:rsidRPr="009D7A02" w:rsidRDefault="006A5513" w:rsidP="006A5513">
            <w:pPr>
              <w:rPr>
                <w:rFonts w:eastAsia="Times New Roman" w:cs="Times New Roman"/>
                <w:color w:val="000000"/>
                <w:kern w:val="0"/>
                <w:sz w:val="20"/>
                <w:szCs w:val="20"/>
                <w:lang w:eastAsia="en-GB"/>
                <w14:ligatures w14:val="none"/>
              </w:rPr>
            </w:pPr>
            <w:r w:rsidRPr="009D7A02">
              <w:rPr>
                <w:rFonts w:eastAsia="Times New Roman" w:cs="Aptos Narrow"/>
                <w:color w:val="000000"/>
                <w:kern w:val="0"/>
                <w:sz w:val="20"/>
                <w:szCs w:val="20"/>
                <w:lang w:eastAsia="en-GB"/>
                <w14:ligatures w14:val="none"/>
              </w:rPr>
              <w:t>Forecast new borrowing to take place in 2026/27</w:t>
            </w:r>
          </w:p>
        </w:tc>
        <w:tc>
          <w:tcPr>
            <w:tcW w:w="1260" w:type="dxa"/>
            <w:tcBorders>
              <w:top w:val="nil"/>
              <w:left w:val="single" w:sz="4" w:space="0" w:color="auto"/>
              <w:bottom w:val="single" w:sz="12" w:space="0" w:color="auto"/>
              <w:right w:val="single" w:sz="4" w:space="0" w:color="auto"/>
            </w:tcBorders>
            <w:vAlign w:val="center"/>
            <w:hideMark/>
          </w:tcPr>
          <w:p w14:paraId="73F383BE" w14:textId="3F1A63B9"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(100,000)</w:t>
            </w:r>
          </w:p>
        </w:tc>
        <w:tc>
          <w:tcPr>
            <w:tcW w:w="1245" w:type="dxa"/>
            <w:tcBorders>
              <w:top w:val="nil"/>
              <w:left w:val="nil"/>
              <w:bottom w:val="single" w:sz="12" w:space="0" w:color="auto"/>
              <w:right w:val="single" w:sz="4" w:space="0" w:color="auto"/>
            </w:tcBorders>
            <w:vAlign w:val="center"/>
            <w:hideMark/>
          </w:tcPr>
          <w:p w14:paraId="6011FBB2" w14:textId="6355958E"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(100,000)</w:t>
            </w:r>
          </w:p>
        </w:tc>
        <w:tc>
          <w:tcPr>
            <w:tcW w:w="1275" w:type="dxa"/>
            <w:tcBorders>
              <w:top w:val="nil"/>
              <w:left w:val="single" w:sz="4" w:space="0" w:color="auto"/>
              <w:bottom w:val="single" w:sz="12" w:space="0" w:color="auto"/>
              <w:right w:val="single" w:sz="12" w:space="0" w:color="auto"/>
            </w:tcBorders>
            <w:vAlign w:val="center"/>
            <w:hideMark/>
          </w:tcPr>
          <w:p w14:paraId="2CF1B641" w14:textId="61458E21" w:rsidR="006A5513" w:rsidRPr="009D7A02" w:rsidRDefault="006A5513" w:rsidP="006A5513">
            <w:pPr>
              <w:jc w:val="right"/>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(100,000)</w:t>
            </w:r>
          </w:p>
        </w:tc>
      </w:tr>
      <w:tr w:rsidR="007A0FD0" w:rsidRPr="009D7A02" w14:paraId="59BB1363" w14:textId="77777777" w:rsidTr="3FAF0EC3">
        <w:trPr>
          <w:trHeight w:val="20"/>
          <w:jc w:val="center"/>
        </w:trPr>
        <w:tc>
          <w:tcPr>
            <w:tcW w:w="4368" w:type="dxa"/>
            <w:tcBorders>
              <w:top w:val="single" w:sz="12" w:space="0" w:color="auto"/>
              <w:left w:val="single" w:sz="12" w:space="0" w:color="auto"/>
              <w:bottom w:val="single" w:sz="12" w:space="0" w:color="auto"/>
              <w:right w:val="single" w:sz="4" w:space="0" w:color="auto"/>
            </w:tcBorders>
            <w:shd w:val="clear" w:color="auto" w:fill="DDDDDD" w:themeFill="accent1"/>
            <w:vAlign w:val="center"/>
            <w:hideMark/>
          </w:tcPr>
          <w:p w14:paraId="519B6F11" w14:textId="77777777" w:rsidR="006A5513" w:rsidRPr="009D7A02" w:rsidRDefault="78543FEB" w:rsidP="16FD5590">
            <w:pP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 xml:space="preserve">Under Borrowed Position </w:t>
            </w:r>
          </w:p>
        </w:tc>
        <w:tc>
          <w:tcPr>
            <w:tcW w:w="1260" w:type="dxa"/>
            <w:tcBorders>
              <w:top w:val="single" w:sz="12" w:space="0" w:color="auto"/>
              <w:left w:val="single" w:sz="4" w:space="0" w:color="auto"/>
              <w:bottom w:val="single" w:sz="12" w:space="0" w:color="auto"/>
              <w:right w:val="single" w:sz="4" w:space="0" w:color="auto"/>
            </w:tcBorders>
            <w:shd w:val="clear" w:color="auto" w:fill="DDDDDD" w:themeFill="accent1"/>
            <w:vAlign w:val="center"/>
            <w:hideMark/>
          </w:tcPr>
          <w:p w14:paraId="5300B126" w14:textId="02ADDEA3" w:rsidR="006A5513" w:rsidRPr="009D7A02" w:rsidRDefault="78543FEB" w:rsidP="16FD5590">
            <w:pPr>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65,852</w:t>
            </w:r>
          </w:p>
        </w:tc>
        <w:tc>
          <w:tcPr>
            <w:tcW w:w="1245" w:type="dxa"/>
            <w:tcBorders>
              <w:top w:val="single" w:sz="12" w:space="0" w:color="auto"/>
              <w:left w:val="nil"/>
              <w:bottom w:val="single" w:sz="12" w:space="0" w:color="auto"/>
              <w:right w:val="single" w:sz="4" w:space="0" w:color="auto"/>
            </w:tcBorders>
            <w:shd w:val="clear" w:color="auto" w:fill="DDDDDD" w:themeFill="accent1"/>
            <w:vAlign w:val="center"/>
            <w:hideMark/>
          </w:tcPr>
          <w:p w14:paraId="5C98CDB4" w14:textId="06EB574F" w:rsidR="006A5513" w:rsidRPr="009D7A02" w:rsidRDefault="78543FEB" w:rsidP="16FD5590">
            <w:pPr>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71,379</w:t>
            </w:r>
          </w:p>
        </w:tc>
        <w:tc>
          <w:tcPr>
            <w:tcW w:w="1275" w:type="dxa"/>
            <w:tcBorders>
              <w:top w:val="single" w:sz="12" w:space="0" w:color="auto"/>
              <w:left w:val="single" w:sz="4" w:space="0" w:color="auto"/>
              <w:bottom w:val="single" w:sz="12" w:space="0" w:color="auto"/>
              <w:right w:val="single" w:sz="12" w:space="0" w:color="auto"/>
            </w:tcBorders>
            <w:shd w:val="clear" w:color="auto" w:fill="DDDDDD" w:themeFill="accent1"/>
            <w:vAlign w:val="center"/>
            <w:hideMark/>
          </w:tcPr>
          <w:p w14:paraId="6D18567E" w14:textId="33A0F49C" w:rsidR="006A5513" w:rsidRPr="009D7A02" w:rsidRDefault="78543FEB" w:rsidP="16FD5590">
            <w:pPr>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73,407</w:t>
            </w:r>
          </w:p>
        </w:tc>
      </w:tr>
      <w:tr w:rsidR="007A0FD0" w:rsidRPr="009D7A02" w14:paraId="7111EA51" w14:textId="77777777" w:rsidTr="3FAF0EC3">
        <w:trPr>
          <w:trHeight w:val="20"/>
          <w:jc w:val="center"/>
        </w:trPr>
        <w:tc>
          <w:tcPr>
            <w:tcW w:w="4368" w:type="dxa"/>
            <w:tcBorders>
              <w:top w:val="single" w:sz="12" w:space="0" w:color="auto"/>
              <w:left w:val="single" w:sz="12" w:space="0" w:color="auto"/>
              <w:bottom w:val="single" w:sz="12" w:space="0" w:color="auto"/>
              <w:right w:val="single" w:sz="4" w:space="0" w:color="auto"/>
            </w:tcBorders>
            <w:shd w:val="clear" w:color="auto" w:fill="DFDFDF" w:themeFill="accent5" w:themeFillTint="33"/>
            <w:vAlign w:val="center"/>
            <w:hideMark/>
          </w:tcPr>
          <w:p w14:paraId="78E3A14A" w14:textId="77777777" w:rsidR="006A5513" w:rsidRPr="009D7A02" w:rsidRDefault="006A5513" w:rsidP="006A5513">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 </w:t>
            </w:r>
          </w:p>
        </w:tc>
        <w:tc>
          <w:tcPr>
            <w:tcW w:w="1260" w:type="dxa"/>
            <w:tcBorders>
              <w:top w:val="single" w:sz="12" w:space="0" w:color="auto"/>
              <w:left w:val="single" w:sz="4" w:space="0" w:color="auto"/>
              <w:bottom w:val="single" w:sz="12" w:space="0" w:color="auto"/>
              <w:right w:val="single" w:sz="4" w:space="0" w:color="auto"/>
            </w:tcBorders>
            <w:vAlign w:val="center"/>
            <w:hideMark/>
          </w:tcPr>
          <w:p w14:paraId="4FAF9C67" w14:textId="40D4C0B1" w:rsidR="006A5513" w:rsidRPr="009D7A02" w:rsidRDefault="006A5513" w:rsidP="006A5513">
            <w:pPr>
              <w:jc w:val="right"/>
              <w:rPr>
                <w:rFonts w:eastAsia="Times New Roman" w:cs="Times New Roman"/>
                <w:color w:val="000000"/>
                <w:kern w:val="0"/>
                <w:sz w:val="20"/>
                <w:szCs w:val="20"/>
                <w:lang w:eastAsia="en-GB"/>
                <w14:ligatures w14:val="none"/>
              </w:rPr>
            </w:pPr>
          </w:p>
        </w:tc>
        <w:tc>
          <w:tcPr>
            <w:tcW w:w="1245" w:type="dxa"/>
            <w:tcBorders>
              <w:top w:val="single" w:sz="12" w:space="0" w:color="auto"/>
              <w:left w:val="nil"/>
              <w:bottom w:val="single" w:sz="12" w:space="0" w:color="auto"/>
              <w:right w:val="single" w:sz="4" w:space="0" w:color="auto"/>
            </w:tcBorders>
            <w:vAlign w:val="center"/>
            <w:hideMark/>
          </w:tcPr>
          <w:p w14:paraId="1F0FF376" w14:textId="3CF10CBC" w:rsidR="006A5513" w:rsidRPr="009D7A02" w:rsidRDefault="006A5513" w:rsidP="006A5513">
            <w:pPr>
              <w:jc w:val="right"/>
              <w:rPr>
                <w:rFonts w:eastAsia="Times New Roman" w:cs="Times New Roman"/>
                <w:color w:val="000000"/>
                <w:kern w:val="0"/>
                <w:sz w:val="20"/>
                <w:szCs w:val="20"/>
                <w:lang w:eastAsia="en-GB"/>
                <w14:ligatures w14:val="none"/>
              </w:rPr>
            </w:pPr>
          </w:p>
        </w:tc>
        <w:tc>
          <w:tcPr>
            <w:tcW w:w="1275" w:type="dxa"/>
            <w:tcBorders>
              <w:top w:val="single" w:sz="12" w:space="0" w:color="auto"/>
              <w:left w:val="single" w:sz="4" w:space="0" w:color="auto"/>
              <w:bottom w:val="single" w:sz="12" w:space="0" w:color="auto"/>
              <w:right w:val="single" w:sz="12" w:space="0" w:color="auto"/>
            </w:tcBorders>
            <w:vAlign w:val="center"/>
            <w:hideMark/>
          </w:tcPr>
          <w:p w14:paraId="41FBB9C1" w14:textId="06825840" w:rsidR="006A5513" w:rsidRPr="009D7A02" w:rsidRDefault="006A5513" w:rsidP="006A5513">
            <w:pPr>
              <w:jc w:val="right"/>
              <w:rPr>
                <w:rFonts w:eastAsia="Times New Roman" w:cs="Times New Roman"/>
                <w:color w:val="000000"/>
                <w:kern w:val="0"/>
                <w:sz w:val="20"/>
                <w:szCs w:val="20"/>
                <w:lang w:eastAsia="en-GB"/>
                <w14:ligatures w14:val="none"/>
              </w:rPr>
            </w:pPr>
          </w:p>
        </w:tc>
      </w:tr>
      <w:tr w:rsidR="007A0FD0" w:rsidRPr="009D7A02" w14:paraId="7C7673AA" w14:textId="77777777" w:rsidTr="3FAF0EC3">
        <w:trPr>
          <w:trHeight w:val="20"/>
          <w:jc w:val="center"/>
        </w:trPr>
        <w:tc>
          <w:tcPr>
            <w:tcW w:w="4368" w:type="dxa"/>
            <w:tcBorders>
              <w:top w:val="single" w:sz="12" w:space="0" w:color="auto"/>
              <w:left w:val="single" w:sz="12" w:space="0" w:color="auto"/>
              <w:bottom w:val="single" w:sz="12" w:space="0" w:color="auto"/>
              <w:right w:val="single" w:sz="4" w:space="0" w:color="auto"/>
            </w:tcBorders>
            <w:shd w:val="clear" w:color="auto" w:fill="DDDDDD" w:themeFill="accent1"/>
            <w:vAlign w:val="center"/>
            <w:hideMark/>
          </w:tcPr>
          <w:p w14:paraId="57571106" w14:textId="253931A3" w:rsidR="006A5513" w:rsidRPr="009D7A02" w:rsidRDefault="78543FEB" w:rsidP="16FD5590">
            <w:pPr>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Increase In the Under</w:t>
            </w:r>
            <w:r w:rsidR="1A83D747" w:rsidRPr="009D7A02">
              <w:rPr>
                <w:rFonts w:eastAsia="Times New Roman" w:cs="Aptos Narrow"/>
                <w:b/>
                <w:bCs/>
                <w:color w:val="000000"/>
                <w:kern w:val="0"/>
                <w:sz w:val="20"/>
                <w:szCs w:val="20"/>
                <w:lang w:eastAsia="en-GB"/>
                <w14:ligatures w14:val="none"/>
              </w:rPr>
              <w:t xml:space="preserve"> Borrowed</w:t>
            </w:r>
            <w:r w:rsidRPr="009D7A02">
              <w:rPr>
                <w:rFonts w:eastAsia="Times New Roman" w:cs="Aptos Narrow"/>
                <w:b/>
                <w:bCs/>
                <w:color w:val="000000"/>
                <w:kern w:val="0"/>
                <w:sz w:val="20"/>
                <w:szCs w:val="20"/>
                <w:lang w:eastAsia="en-GB"/>
                <w14:ligatures w14:val="none"/>
              </w:rPr>
              <w:t xml:space="preserve"> Position</w:t>
            </w:r>
          </w:p>
        </w:tc>
        <w:tc>
          <w:tcPr>
            <w:tcW w:w="1260" w:type="dxa"/>
            <w:tcBorders>
              <w:top w:val="single" w:sz="12" w:space="0" w:color="auto"/>
              <w:left w:val="nil"/>
              <w:bottom w:val="single" w:sz="12" w:space="0" w:color="auto"/>
              <w:right w:val="single" w:sz="4" w:space="0" w:color="auto"/>
            </w:tcBorders>
            <w:shd w:val="clear" w:color="auto" w:fill="DDDDDD" w:themeFill="accent1"/>
            <w:vAlign w:val="center"/>
            <w:hideMark/>
          </w:tcPr>
          <w:p w14:paraId="4234E6BA" w14:textId="5E92DF61" w:rsidR="006A5513" w:rsidRPr="009D7A02" w:rsidRDefault="78543FEB" w:rsidP="16FD5590">
            <w:pPr>
              <w:jc w:val="right"/>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65,852</w:t>
            </w:r>
          </w:p>
        </w:tc>
        <w:tc>
          <w:tcPr>
            <w:tcW w:w="1245" w:type="dxa"/>
            <w:tcBorders>
              <w:top w:val="single" w:sz="12" w:space="0" w:color="auto"/>
              <w:left w:val="nil"/>
              <w:bottom w:val="single" w:sz="12" w:space="0" w:color="auto"/>
              <w:right w:val="single" w:sz="4" w:space="0" w:color="auto"/>
            </w:tcBorders>
            <w:shd w:val="clear" w:color="auto" w:fill="DDDDDD" w:themeFill="accent1"/>
            <w:vAlign w:val="center"/>
            <w:hideMark/>
          </w:tcPr>
          <w:p w14:paraId="0284355B" w14:textId="56D32EA6" w:rsidR="006A5513" w:rsidRPr="009D7A02" w:rsidRDefault="78543FEB" w:rsidP="16FD5590">
            <w:pPr>
              <w:jc w:val="right"/>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5,527</w:t>
            </w:r>
          </w:p>
        </w:tc>
        <w:tc>
          <w:tcPr>
            <w:tcW w:w="1275" w:type="dxa"/>
            <w:tcBorders>
              <w:top w:val="single" w:sz="12" w:space="0" w:color="auto"/>
              <w:left w:val="nil"/>
              <w:bottom w:val="single" w:sz="12" w:space="0" w:color="auto"/>
              <w:right w:val="single" w:sz="12" w:space="0" w:color="auto"/>
            </w:tcBorders>
            <w:shd w:val="clear" w:color="auto" w:fill="DDDDDD" w:themeFill="accent1"/>
            <w:vAlign w:val="center"/>
            <w:hideMark/>
          </w:tcPr>
          <w:p w14:paraId="24FF97FC" w14:textId="009AD322" w:rsidR="006A5513" w:rsidRPr="009D7A02" w:rsidRDefault="78543FEB" w:rsidP="16FD5590">
            <w:pPr>
              <w:jc w:val="right"/>
              <w:rPr>
                <w:rFonts w:eastAsia="Times New Roman" w:cs="Times New Roman"/>
                <w:b/>
                <w:bCs/>
                <w:color w:val="000000"/>
                <w:kern w:val="0"/>
                <w:sz w:val="20"/>
                <w:szCs w:val="20"/>
                <w:lang w:eastAsia="en-GB"/>
                <w14:ligatures w14:val="none"/>
              </w:rPr>
            </w:pPr>
            <w:r w:rsidRPr="009D7A02">
              <w:rPr>
                <w:rFonts w:eastAsia="Times New Roman" w:cs="Aptos Narrow"/>
                <w:b/>
                <w:bCs/>
                <w:color w:val="000000"/>
                <w:kern w:val="0"/>
                <w:sz w:val="20"/>
                <w:szCs w:val="20"/>
                <w:lang w:eastAsia="en-GB"/>
                <w14:ligatures w14:val="none"/>
              </w:rPr>
              <w:t>2,028</w:t>
            </w:r>
          </w:p>
        </w:tc>
      </w:tr>
    </w:tbl>
    <w:p w14:paraId="0DE48945" w14:textId="77777777" w:rsidR="006A5513" w:rsidRPr="009D7A02" w:rsidRDefault="006A5513" w:rsidP="6606528C">
      <w:pPr>
        <w:pStyle w:val="ListParagraph"/>
        <w:spacing w:line="276" w:lineRule="auto"/>
        <w:ind w:left="0" w:right="140"/>
        <w:rPr>
          <w:rFonts w:ascii="Inter" w:hAnsi="Inter" w:cs="Arial"/>
        </w:rPr>
      </w:pPr>
    </w:p>
    <w:p w14:paraId="4EDCF144" w14:textId="6DBB0501" w:rsidR="00BE2502" w:rsidRPr="00BE2502" w:rsidRDefault="05BB96D0" w:rsidP="41590B60">
      <w:pPr>
        <w:spacing w:line="276" w:lineRule="auto"/>
        <w:ind w:left="567" w:right="140"/>
        <w:rPr>
          <w:rFonts w:ascii="Inter" w:hAnsi="Inter" w:cs="Arial"/>
          <w:b/>
          <w:bCs/>
        </w:rPr>
      </w:pPr>
      <w:r w:rsidRPr="41590B60">
        <w:rPr>
          <w:rFonts w:ascii="Inter" w:hAnsi="Inter" w:cs="Arial"/>
          <w:b/>
          <w:bCs/>
        </w:rPr>
        <w:t>Revenue costs to service TVCA Debt</w:t>
      </w:r>
    </w:p>
    <w:p w14:paraId="4F6965F5" w14:textId="51D9CD7F" w:rsidR="00816A0B" w:rsidRPr="009D7A02" w:rsidRDefault="00816A0B"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 xml:space="preserve">The table </w:t>
      </w:r>
      <w:r w:rsidR="5E1B1E14" w:rsidRPr="2DFE4DF5">
        <w:rPr>
          <w:rFonts w:ascii="Inter" w:hAnsi="Inter" w:cs="Arial"/>
        </w:rPr>
        <w:t xml:space="preserve">below </w:t>
      </w:r>
      <w:r w:rsidRPr="2DFE4DF5">
        <w:rPr>
          <w:rFonts w:ascii="Inter" w:hAnsi="Inter" w:cs="Arial"/>
        </w:rPr>
        <w:t xml:space="preserve">sets out the estimated </w:t>
      </w:r>
      <w:r w:rsidR="5772253A" w:rsidRPr="2DFE4DF5">
        <w:rPr>
          <w:rFonts w:ascii="Inter" w:hAnsi="Inter" w:cs="Arial"/>
        </w:rPr>
        <w:t xml:space="preserve">additional </w:t>
      </w:r>
      <w:r w:rsidRPr="2DFE4DF5">
        <w:rPr>
          <w:rFonts w:ascii="Inter" w:hAnsi="Inter" w:cs="Arial"/>
        </w:rPr>
        <w:t xml:space="preserve">capital financing cost </w:t>
      </w:r>
      <w:r w:rsidR="043C908D" w:rsidRPr="2DFE4DF5">
        <w:rPr>
          <w:rFonts w:ascii="Inter" w:hAnsi="Inter" w:cs="Arial"/>
        </w:rPr>
        <w:t>if</w:t>
      </w:r>
      <w:r w:rsidRPr="2DFE4DF5">
        <w:rPr>
          <w:rFonts w:ascii="Inter" w:hAnsi="Inter" w:cs="Arial"/>
        </w:rPr>
        <w:t xml:space="preserve"> the under</w:t>
      </w:r>
      <w:r w:rsidR="088A6145" w:rsidRPr="2DFE4DF5">
        <w:rPr>
          <w:rFonts w:ascii="Inter" w:hAnsi="Inter" w:cs="Arial"/>
        </w:rPr>
        <w:t>-</w:t>
      </w:r>
      <w:r w:rsidRPr="2DFE4DF5">
        <w:rPr>
          <w:rFonts w:ascii="Inter" w:hAnsi="Inter" w:cs="Arial"/>
        </w:rPr>
        <w:t>borrowed balance</w:t>
      </w:r>
      <w:r w:rsidR="530D02E2" w:rsidRPr="2DFE4DF5">
        <w:rPr>
          <w:rFonts w:ascii="Inter" w:hAnsi="Inter" w:cs="Arial"/>
        </w:rPr>
        <w:t xml:space="preserve"> required further borrowing</w:t>
      </w:r>
      <w:r w:rsidRPr="2DFE4DF5">
        <w:rPr>
          <w:rFonts w:ascii="Inter" w:hAnsi="Inter" w:cs="Arial"/>
        </w:rPr>
        <w:t xml:space="preserve">, assuming </w:t>
      </w:r>
      <w:r w:rsidR="6D8FD2C2" w:rsidRPr="2DFE4DF5">
        <w:rPr>
          <w:rFonts w:ascii="Inter" w:hAnsi="Inter" w:cs="Arial"/>
        </w:rPr>
        <w:t xml:space="preserve">this would be </w:t>
      </w:r>
      <w:r w:rsidRPr="2DFE4DF5">
        <w:rPr>
          <w:rFonts w:ascii="Inter" w:hAnsi="Inter" w:cs="Arial"/>
        </w:rPr>
        <w:t>undertaken on a 5% maturity basis.</w:t>
      </w:r>
    </w:p>
    <w:p w14:paraId="175221BB" w14:textId="77777777" w:rsidR="00F31762" w:rsidRPr="009D7A02" w:rsidRDefault="00F31762" w:rsidP="00BE2502">
      <w:pPr>
        <w:pStyle w:val="ListParagraph"/>
        <w:spacing w:line="276" w:lineRule="auto"/>
        <w:ind w:left="567" w:right="140" w:hanging="567"/>
        <w:rPr>
          <w:rFonts w:ascii="Inter" w:hAnsi="Inter" w:cs="Arial"/>
          <w:szCs w:val="22"/>
        </w:rPr>
      </w:pPr>
    </w:p>
    <w:p w14:paraId="1436D754" w14:textId="1FAC6377" w:rsidR="00F31762" w:rsidRPr="009D7A02" w:rsidRDefault="00F31762"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TVCA predominantly accesses borrowing through the PWLB, but it also has one loan with the UK Infrastructure Bank. The estimated capital financing costs associated with these loans are summarised in the table below.</w:t>
      </w:r>
    </w:p>
    <w:p w14:paraId="4BF2BEA8" w14:textId="77777777" w:rsidR="007E4141" w:rsidRDefault="007E4141" w:rsidP="00597EF7">
      <w:pPr>
        <w:pStyle w:val="ListParagraph"/>
        <w:spacing w:line="276" w:lineRule="auto"/>
        <w:ind w:left="0" w:right="140"/>
        <w:rPr>
          <w:rFonts w:ascii="Inter" w:hAnsi="Inter" w:cs="Arial"/>
          <w:szCs w:val="22"/>
        </w:rPr>
      </w:pPr>
    </w:p>
    <w:p w14:paraId="5626A412" w14:textId="1847943B" w:rsidR="00264E10" w:rsidRPr="00DA4CF0" w:rsidRDefault="00264E10" w:rsidP="00DA4CF0">
      <w:pPr>
        <w:pStyle w:val="ListParagraph"/>
        <w:spacing w:line="276" w:lineRule="auto"/>
        <w:ind w:left="1440" w:right="140" w:firstLine="720"/>
        <w:rPr>
          <w:rFonts w:ascii="Inter" w:hAnsi="Inter" w:cs="Arial"/>
          <w:b/>
        </w:rPr>
      </w:pPr>
      <w:r w:rsidRPr="4F0B269B">
        <w:rPr>
          <w:rFonts w:ascii="Inter" w:hAnsi="Inter" w:cs="Arial"/>
          <w:b/>
        </w:rPr>
        <w:t>Table 1</w:t>
      </w:r>
      <w:r w:rsidR="006E6655">
        <w:rPr>
          <w:rFonts w:ascii="Inter" w:hAnsi="Inter" w:cs="Arial"/>
          <w:b/>
        </w:rPr>
        <w:t>3</w:t>
      </w:r>
      <w:r w:rsidRPr="4F0B269B">
        <w:rPr>
          <w:rFonts w:ascii="Inter" w:hAnsi="Inter" w:cs="Arial"/>
          <w:b/>
        </w:rPr>
        <w:t xml:space="preserve"> </w:t>
      </w:r>
      <w:r w:rsidR="00DA4CF0" w:rsidRPr="4F0B269B">
        <w:rPr>
          <w:rFonts w:ascii="Inter" w:hAnsi="Inter" w:cs="Arial"/>
          <w:b/>
        </w:rPr>
        <w:t xml:space="preserve">Summary of </w:t>
      </w:r>
      <w:r w:rsidR="01FCA471" w:rsidRPr="4F0B269B">
        <w:rPr>
          <w:rFonts w:ascii="Inter" w:hAnsi="Inter" w:cs="Arial"/>
          <w:b/>
          <w:bCs/>
        </w:rPr>
        <w:t>F</w:t>
      </w:r>
      <w:r w:rsidR="00DA4CF0" w:rsidRPr="4F0B269B">
        <w:rPr>
          <w:rFonts w:ascii="Inter" w:hAnsi="Inter" w:cs="Arial"/>
          <w:b/>
          <w:bCs/>
        </w:rPr>
        <w:t>orecast</w:t>
      </w:r>
      <w:r w:rsidR="00DA4CF0" w:rsidRPr="4F0B269B">
        <w:rPr>
          <w:rFonts w:ascii="Inter" w:hAnsi="Inter" w:cs="Arial"/>
          <w:b/>
        </w:rPr>
        <w:t xml:space="preserve"> Borrowing </w:t>
      </w:r>
      <w:r w:rsidR="751F81E5" w:rsidRPr="4F0B269B">
        <w:rPr>
          <w:rFonts w:ascii="Inter" w:hAnsi="Inter" w:cs="Arial"/>
          <w:b/>
          <w:bCs/>
        </w:rPr>
        <w:t>C</w:t>
      </w:r>
      <w:r w:rsidR="00DA4CF0" w:rsidRPr="4F0B269B">
        <w:rPr>
          <w:rFonts w:ascii="Inter" w:hAnsi="Inter" w:cs="Arial"/>
          <w:b/>
          <w:bCs/>
        </w:rPr>
        <w:t>ost</w:t>
      </w:r>
      <w:r w:rsidR="76878988" w:rsidRPr="4F0B269B">
        <w:rPr>
          <w:rFonts w:ascii="Inter" w:hAnsi="Inter" w:cs="Arial"/>
          <w:b/>
          <w:bCs/>
        </w:rPr>
        <w:t>s</w:t>
      </w:r>
    </w:p>
    <w:p w14:paraId="469AB369" w14:textId="77777777" w:rsidR="00264E10" w:rsidRPr="009D7A02" w:rsidRDefault="00264E10" w:rsidP="00597EF7">
      <w:pPr>
        <w:pStyle w:val="ListParagraph"/>
        <w:spacing w:line="276" w:lineRule="auto"/>
        <w:ind w:left="0" w:right="140"/>
        <w:rPr>
          <w:rFonts w:ascii="Inter" w:hAnsi="Inter" w:cs="Arial"/>
          <w:szCs w:val="22"/>
        </w:rPr>
      </w:pPr>
    </w:p>
    <w:tbl>
      <w:tblPr>
        <w:tblW w:w="7762" w:type="dxa"/>
        <w:tblInd w:w="897" w:type="dxa"/>
        <w:tblLook w:val="04A0" w:firstRow="1" w:lastRow="0" w:firstColumn="1" w:lastColumn="0" w:noHBand="0" w:noVBand="1"/>
      </w:tblPr>
      <w:tblGrid>
        <w:gridCol w:w="4360"/>
        <w:gridCol w:w="1134"/>
        <w:gridCol w:w="1134"/>
        <w:gridCol w:w="1134"/>
      </w:tblGrid>
      <w:tr w:rsidR="00EB7551" w:rsidRPr="009D7A02" w14:paraId="79B61EA8" w14:textId="77777777" w:rsidTr="00324158">
        <w:trPr>
          <w:trHeight w:val="300"/>
        </w:trPr>
        <w:tc>
          <w:tcPr>
            <w:tcW w:w="4360" w:type="dxa"/>
            <w:tcBorders>
              <w:top w:val="single" w:sz="18" w:space="0" w:color="auto"/>
              <w:left w:val="single" w:sz="18" w:space="0" w:color="auto"/>
              <w:bottom w:val="single" w:sz="18" w:space="0" w:color="auto"/>
              <w:right w:val="single" w:sz="4" w:space="0" w:color="auto"/>
            </w:tcBorders>
            <w:shd w:val="clear" w:color="auto" w:fill="D0D0D0" w:themeFill="accent2" w:themeFillTint="99"/>
            <w:noWrap/>
            <w:vAlign w:val="bottom"/>
            <w:hideMark/>
          </w:tcPr>
          <w:p w14:paraId="28078C94" w14:textId="77777777" w:rsidR="007E4141" w:rsidRPr="00324158" w:rsidRDefault="007E4141" w:rsidP="007E4141">
            <w:pPr>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Capital Financing Requirement</w:t>
            </w:r>
          </w:p>
        </w:tc>
        <w:tc>
          <w:tcPr>
            <w:tcW w:w="1134" w:type="dxa"/>
            <w:tcBorders>
              <w:top w:val="single" w:sz="18" w:space="0" w:color="auto"/>
              <w:left w:val="nil"/>
              <w:bottom w:val="single" w:sz="18" w:space="0" w:color="auto"/>
              <w:right w:val="single" w:sz="4" w:space="0" w:color="auto"/>
            </w:tcBorders>
            <w:shd w:val="clear" w:color="auto" w:fill="D0D0D0" w:themeFill="accent2" w:themeFillTint="99"/>
            <w:vAlign w:val="center"/>
            <w:hideMark/>
          </w:tcPr>
          <w:p w14:paraId="44A8C961" w14:textId="77777777" w:rsidR="007E4141" w:rsidRPr="00324158" w:rsidRDefault="007E4141" w:rsidP="007E4141">
            <w:pPr>
              <w:jc w:val="center"/>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2026/27</w:t>
            </w:r>
          </w:p>
        </w:tc>
        <w:tc>
          <w:tcPr>
            <w:tcW w:w="1134" w:type="dxa"/>
            <w:tcBorders>
              <w:top w:val="single" w:sz="18" w:space="0" w:color="auto"/>
              <w:left w:val="nil"/>
              <w:bottom w:val="single" w:sz="18" w:space="0" w:color="auto"/>
              <w:right w:val="single" w:sz="4" w:space="0" w:color="auto"/>
            </w:tcBorders>
            <w:shd w:val="clear" w:color="auto" w:fill="D0D0D0" w:themeFill="accent2" w:themeFillTint="99"/>
            <w:vAlign w:val="center"/>
            <w:hideMark/>
          </w:tcPr>
          <w:p w14:paraId="1A42703F" w14:textId="77777777" w:rsidR="007E4141" w:rsidRPr="00324158" w:rsidRDefault="007E4141" w:rsidP="007E4141">
            <w:pPr>
              <w:jc w:val="center"/>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2027/28</w:t>
            </w:r>
          </w:p>
        </w:tc>
        <w:tc>
          <w:tcPr>
            <w:tcW w:w="1134" w:type="dxa"/>
            <w:tcBorders>
              <w:top w:val="single" w:sz="18" w:space="0" w:color="auto"/>
              <w:left w:val="nil"/>
              <w:bottom w:val="single" w:sz="18" w:space="0" w:color="auto"/>
              <w:right w:val="single" w:sz="18" w:space="0" w:color="auto"/>
            </w:tcBorders>
            <w:shd w:val="clear" w:color="auto" w:fill="D0D0D0" w:themeFill="accent2" w:themeFillTint="99"/>
            <w:vAlign w:val="center"/>
            <w:hideMark/>
          </w:tcPr>
          <w:p w14:paraId="01D8EAD8" w14:textId="77777777" w:rsidR="007E4141" w:rsidRPr="00324158" w:rsidRDefault="007E4141" w:rsidP="007E4141">
            <w:pPr>
              <w:jc w:val="center"/>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2028/29</w:t>
            </w:r>
          </w:p>
        </w:tc>
      </w:tr>
      <w:tr w:rsidR="00FF308E" w:rsidRPr="009D7A02" w14:paraId="27B1B1EA" w14:textId="77777777" w:rsidTr="00324158">
        <w:trPr>
          <w:trHeight w:val="290"/>
        </w:trPr>
        <w:tc>
          <w:tcPr>
            <w:tcW w:w="4360" w:type="dxa"/>
            <w:tcBorders>
              <w:top w:val="single" w:sz="18" w:space="0" w:color="auto"/>
              <w:left w:val="single" w:sz="12" w:space="0" w:color="auto"/>
              <w:bottom w:val="single" w:sz="4" w:space="0" w:color="auto"/>
              <w:right w:val="single" w:sz="4" w:space="0" w:color="auto"/>
            </w:tcBorders>
            <w:shd w:val="clear" w:color="auto" w:fill="D0D0D0" w:themeFill="accent2" w:themeFillTint="99"/>
            <w:noWrap/>
            <w:vAlign w:val="bottom"/>
            <w:hideMark/>
          </w:tcPr>
          <w:p w14:paraId="5AC30A18" w14:textId="7EAC4127" w:rsidR="007E4141" w:rsidRPr="00324158" w:rsidRDefault="007E4141" w:rsidP="007E4141">
            <w:pPr>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Exi</w:t>
            </w:r>
            <w:r w:rsidR="00AC6568">
              <w:rPr>
                <w:rFonts w:eastAsia="Times New Roman" w:cs="Times New Roman"/>
                <w:color w:val="000000"/>
                <w:kern w:val="0"/>
                <w:sz w:val="20"/>
                <w:szCs w:val="20"/>
                <w:lang w:eastAsia="en-GB"/>
                <w14:ligatures w14:val="none"/>
              </w:rPr>
              <w:t>s</w:t>
            </w:r>
            <w:r w:rsidRPr="00324158">
              <w:rPr>
                <w:rFonts w:eastAsia="Times New Roman" w:cs="Times New Roman"/>
                <w:color w:val="000000"/>
                <w:kern w:val="0"/>
                <w:sz w:val="20"/>
                <w:szCs w:val="20"/>
                <w:lang w:eastAsia="en-GB"/>
                <w14:ligatures w14:val="none"/>
              </w:rPr>
              <w:t>ting Borrowing</w:t>
            </w:r>
          </w:p>
        </w:tc>
        <w:tc>
          <w:tcPr>
            <w:tcW w:w="1134" w:type="dxa"/>
            <w:tcBorders>
              <w:top w:val="single" w:sz="18" w:space="0" w:color="auto"/>
              <w:left w:val="single" w:sz="4" w:space="0" w:color="auto"/>
              <w:bottom w:val="single" w:sz="4" w:space="0" w:color="auto"/>
              <w:right w:val="single" w:sz="4" w:space="0" w:color="auto"/>
            </w:tcBorders>
            <w:noWrap/>
            <w:vAlign w:val="bottom"/>
            <w:hideMark/>
          </w:tcPr>
          <w:p w14:paraId="07671D41"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£15,670</w:t>
            </w:r>
          </w:p>
        </w:tc>
        <w:tc>
          <w:tcPr>
            <w:tcW w:w="1134" w:type="dxa"/>
            <w:tcBorders>
              <w:top w:val="single" w:sz="18" w:space="0" w:color="auto"/>
              <w:left w:val="nil"/>
              <w:bottom w:val="single" w:sz="4" w:space="0" w:color="auto"/>
              <w:right w:val="single" w:sz="4" w:space="0" w:color="auto"/>
            </w:tcBorders>
            <w:noWrap/>
            <w:vAlign w:val="bottom"/>
            <w:hideMark/>
          </w:tcPr>
          <w:p w14:paraId="19D9F49F"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£13,127</w:t>
            </w:r>
          </w:p>
        </w:tc>
        <w:tc>
          <w:tcPr>
            <w:tcW w:w="1134" w:type="dxa"/>
            <w:tcBorders>
              <w:top w:val="single" w:sz="18" w:space="0" w:color="auto"/>
              <w:left w:val="single" w:sz="4" w:space="0" w:color="auto"/>
              <w:bottom w:val="single" w:sz="4" w:space="0" w:color="auto"/>
              <w:right w:val="single" w:sz="12" w:space="0" w:color="auto"/>
            </w:tcBorders>
            <w:noWrap/>
            <w:vAlign w:val="bottom"/>
            <w:hideMark/>
          </w:tcPr>
          <w:p w14:paraId="598A3F78"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£12,738</w:t>
            </w:r>
          </w:p>
        </w:tc>
      </w:tr>
      <w:tr w:rsidR="00FF308E" w:rsidRPr="009D7A02" w14:paraId="10068669" w14:textId="77777777" w:rsidTr="00324158">
        <w:trPr>
          <w:trHeight w:val="290"/>
        </w:trPr>
        <w:tc>
          <w:tcPr>
            <w:tcW w:w="4360" w:type="dxa"/>
            <w:tcBorders>
              <w:top w:val="nil"/>
              <w:left w:val="single" w:sz="12" w:space="0" w:color="auto"/>
              <w:bottom w:val="single" w:sz="18" w:space="0" w:color="auto"/>
              <w:right w:val="single" w:sz="4" w:space="0" w:color="auto"/>
            </w:tcBorders>
            <w:shd w:val="clear" w:color="auto" w:fill="D0D0D0" w:themeFill="accent2" w:themeFillTint="99"/>
            <w:noWrap/>
            <w:vAlign w:val="bottom"/>
            <w:hideMark/>
          </w:tcPr>
          <w:p w14:paraId="6703373F" w14:textId="77777777" w:rsidR="007E4141" w:rsidRPr="00324158" w:rsidRDefault="007E4141" w:rsidP="007E4141">
            <w:pPr>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Forecast Borrowing</w:t>
            </w:r>
          </w:p>
        </w:tc>
        <w:tc>
          <w:tcPr>
            <w:tcW w:w="1134" w:type="dxa"/>
            <w:tcBorders>
              <w:top w:val="nil"/>
              <w:left w:val="single" w:sz="4" w:space="0" w:color="auto"/>
              <w:bottom w:val="single" w:sz="18" w:space="0" w:color="auto"/>
              <w:right w:val="single" w:sz="4" w:space="0" w:color="auto"/>
            </w:tcBorders>
            <w:noWrap/>
            <w:vAlign w:val="bottom"/>
            <w:hideMark/>
          </w:tcPr>
          <w:p w14:paraId="016B528B"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£6,960</w:t>
            </w:r>
          </w:p>
        </w:tc>
        <w:tc>
          <w:tcPr>
            <w:tcW w:w="1134" w:type="dxa"/>
            <w:tcBorders>
              <w:top w:val="nil"/>
              <w:left w:val="nil"/>
              <w:bottom w:val="single" w:sz="18" w:space="0" w:color="auto"/>
              <w:right w:val="single" w:sz="4" w:space="0" w:color="auto"/>
            </w:tcBorders>
            <w:noWrap/>
            <w:vAlign w:val="bottom"/>
            <w:hideMark/>
          </w:tcPr>
          <w:p w14:paraId="0D4A4C21"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£9,360</w:t>
            </w:r>
          </w:p>
        </w:tc>
        <w:tc>
          <w:tcPr>
            <w:tcW w:w="1134" w:type="dxa"/>
            <w:tcBorders>
              <w:top w:val="nil"/>
              <w:left w:val="single" w:sz="4" w:space="0" w:color="auto"/>
              <w:bottom w:val="single" w:sz="18" w:space="0" w:color="auto"/>
              <w:right w:val="single" w:sz="12" w:space="0" w:color="auto"/>
            </w:tcBorders>
            <w:noWrap/>
            <w:vAlign w:val="bottom"/>
            <w:hideMark/>
          </w:tcPr>
          <w:p w14:paraId="76575937"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£9,360</w:t>
            </w:r>
          </w:p>
        </w:tc>
      </w:tr>
      <w:tr w:rsidR="00EB7551" w:rsidRPr="009D7A02" w14:paraId="52506F06" w14:textId="77777777" w:rsidTr="00324158">
        <w:trPr>
          <w:trHeight w:val="290"/>
        </w:trPr>
        <w:tc>
          <w:tcPr>
            <w:tcW w:w="4360" w:type="dxa"/>
            <w:tcBorders>
              <w:top w:val="single" w:sz="18" w:space="0" w:color="auto"/>
              <w:left w:val="single" w:sz="18" w:space="0" w:color="auto"/>
              <w:bottom w:val="single" w:sz="18" w:space="0" w:color="auto"/>
              <w:right w:val="single" w:sz="4" w:space="0" w:color="auto"/>
            </w:tcBorders>
            <w:shd w:val="clear" w:color="auto" w:fill="D0D0D0" w:themeFill="accent2" w:themeFillTint="99"/>
            <w:noWrap/>
            <w:vAlign w:val="bottom"/>
            <w:hideMark/>
          </w:tcPr>
          <w:p w14:paraId="655F29E8" w14:textId="77777777" w:rsidR="007E4141" w:rsidRPr="00324158" w:rsidRDefault="007E4141" w:rsidP="007E4141">
            <w:pPr>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lastRenderedPageBreak/>
              <w:t> </w:t>
            </w:r>
          </w:p>
        </w:tc>
        <w:tc>
          <w:tcPr>
            <w:tcW w:w="1134" w:type="dxa"/>
            <w:tcBorders>
              <w:top w:val="single" w:sz="18" w:space="0" w:color="auto"/>
              <w:left w:val="single" w:sz="4" w:space="0" w:color="auto"/>
              <w:bottom w:val="single" w:sz="18" w:space="0" w:color="auto"/>
              <w:right w:val="single" w:sz="4" w:space="0" w:color="auto"/>
            </w:tcBorders>
            <w:shd w:val="clear" w:color="auto" w:fill="D0D0D0" w:themeFill="accent2" w:themeFillTint="99"/>
            <w:noWrap/>
            <w:vAlign w:val="bottom"/>
            <w:hideMark/>
          </w:tcPr>
          <w:p w14:paraId="0ED7993A" w14:textId="04D8224F" w:rsidR="007E4141" w:rsidRPr="00324158" w:rsidRDefault="007E4141" w:rsidP="007E4141">
            <w:pPr>
              <w:jc w:val="right"/>
              <w:rPr>
                <w:rFonts w:eastAsia="Times New Roman" w:cs="Times New Roman"/>
                <w:b/>
                <w:color w:val="000000"/>
                <w:kern w:val="0"/>
                <w:sz w:val="20"/>
                <w:szCs w:val="20"/>
                <w:lang w:eastAsia="en-GB"/>
                <w14:ligatures w14:val="none"/>
              </w:rPr>
            </w:pPr>
            <w:r w:rsidRPr="00324158">
              <w:rPr>
                <w:rFonts w:eastAsia="Times New Roman" w:cs="Times New Roman"/>
                <w:b/>
                <w:color w:val="000000"/>
                <w:kern w:val="0"/>
                <w:sz w:val="20"/>
                <w:szCs w:val="20"/>
                <w:lang w:eastAsia="en-GB"/>
                <w14:ligatures w14:val="none"/>
              </w:rPr>
              <w:t>£22,630</w:t>
            </w:r>
          </w:p>
        </w:tc>
        <w:tc>
          <w:tcPr>
            <w:tcW w:w="1134" w:type="dxa"/>
            <w:tcBorders>
              <w:top w:val="single" w:sz="18" w:space="0" w:color="auto"/>
              <w:left w:val="nil"/>
              <w:bottom w:val="single" w:sz="18" w:space="0" w:color="auto"/>
              <w:right w:val="single" w:sz="4" w:space="0" w:color="auto"/>
            </w:tcBorders>
            <w:shd w:val="clear" w:color="auto" w:fill="D0D0D0" w:themeFill="accent2" w:themeFillTint="99"/>
            <w:noWrap/>
            <w:vAlign w:val="bottom"/>
            <w:hideMark/>
          </w:tcPr>
          <w:p w14:paraId="001E07C9" w14:textId="77777777" w:rsidR="007E4141" w:rsidRPr="00324158" w:rsidRDefault="007E4141" w:rsidP="007E4141">
            <w:pPr>
              <w:jc w:val="right"/>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£22,487</w:t>
            </w:r>
          </w:p>
        </w:tc>
        <w:tc>
          <w:tcPr>
            <w:tcW w:w="1134" w:type="dxa"/>
            <w:tcBorders>
              <w:top w:val="single" w:sz="18" w:space="0" w:color="auto"/>
              <w:left w:val="single" w:sz="4" w:space="0" w:color="auto"/>
              <w:bottom w:val="single" w:sz="18" w:space="0" w:color="auto"/>
              <w:right w:val="single" w:sz="18" w:space="0" w:color="auto"/>
            </w:tcBorders>
            <w:shd w:val="clear" w:color="auto" w:fill="D0D0D0" w:themeFill="accent2" w:themeFillTint="99"/>
            <w:noWrap/>
            <w:vAlign w:val="bottom"/>
            <w:hideMark/>
          </w:tcPr>
          <w:p w14:paraId="1B1D68F6" w14:textId="77777777" w:rsidR="007E4141" w:rsidRPr="00324158" w:rsidRDefault="007E4141" w:rsidP="007E4141">
            <w:pPr>
              <w:jc w:val="right"/>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£22,098</w:t>
            </w:r>
          </w:p>
        </w:tc>
      </w:tr>
      <w:tr w:rsidR="00FF308E" w:rsidRPr="009D7A02" w14:paraId="160D55DC" w14:textId="77777777" w:rsidTr="00324158">
        <w:trPr>
          <w:trHeight w:val="290"/>
        </w:trPr>
        <w:tc>
          <w:tcPr>
            <w:tcW w:w="4360" w:type="dxa"/>
            <w:tcBorders>
              <w:top w:val="nil"/>
              <w:left w:val="single" w:sz="12" w:space="0" w:color="auto"/>
              <w:bottom w:val="single" w:sz="4" w:space="0" w:color="auto"/>
              <w:right w:val="single" w:sz="4" w:space="0" w:color="auto"/>
            </w:tcBorders>
            <w:shd w:val="clear" w:color="auto" w:fill="D0D0D0" w:themeFill="accent2" w:themeFillTint="99"/>
            <w:noWrap/>
            <w:vAlign w:val="bottom"/>
            <w:hideMark/>
          </w:tcPr>
          <w:p w14:paraId="660FE14C" w14:textId="1B30CC10" w:rsidR="007E4141" w:rsidRPr="00324158" w:rsidRDefault="059223BA" w:rsidP="16FD5590">
            <w:pPr>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 xml:space="preserve">Estimated borrowing to </w:t>
            </w:r>
            <w:r w:rsidR="7DAFB9CB" w:rsidRPr="00324158">
              <w:rPr>
                <w:rFonts w:eastAsia="Times New Roman" w:cs="Times New Roman"/>
                <w:color w:val="000000"/>
                <w:kern w:val="0"/>
                <w:sz w:val="20"/>
                <w:szCs w:val="20"/>
                <w:lang w:eastAsia="en-GB"/>
                <w14:ligatures w14:val="none"/>
              </w:rPr>
              <w:t>f</w:t>
            </w:r>
            <w:r w:rsidRPr="00324158">
              <w:rPr>
                <w:rFonts w:eastAsia="Times New Roman" w:cs="Times New Roman"/>
                <w:color w:val="000000"/>
                <w:kern w:val="0"/>
                <w:sz w:val="20"/>
                <w:szCs w:val="20"/>
                <w:lang w:eastAsia="en-GB"/>
                <w14:ligatures w14:val="none"/>
              </w:rPr>
              <w:t xml:space="preserve">inance </w:t>
            </w:r>
            <w:r w:rsidR="6FA75209" w:rsidRPr="00324158">
              <w:rPr>
                <w:rFonts w:eastAsia="Times New Roman" w:cs="Times New Roman"/>
                <w:color w:val="000000"/>
                <w:kern w:val="0"/>
                <w:sz w:val="20"/>
                <w:szCs w:val="20"/>
                <w:lang w:eastAsia="en-GB"/>
                <w14:ligatures w14:val="none"/>
              </w:rPr>
              <w:t>u</w:t>
            </w:r>
            <w:r w:rsidRPr="00324158">
              <w:rPr>
                <w:rFonts w:eastAsia="Times New Roman" w:cs="Times New Roman"/>
                <w:color w:val="000000"/>
                <w:kern w:val="0"/>
                <w:sz w:val="20"/>
                <w:szCs w:val="20"/>
                <w:lang w:eastAsia="en-GB"/>
                <w14:ligatures w14:val="none"/>
              </w:rPr>
              <w:t>nder</w:t>
            </w:r>
            <w:r w:rsidR="381A4BE4" w:rsidRPr="00324158">
              <w:rPr>
                <w:rFonts w:eastAsia="Times New Roman" w:cs="Times New Roman"/>
                <w:color w:val="000000"/>
                <w:kern w:val="0"/>
                <w:sz w:val="20"/>
                <w:szCs w:val="20"/>
                <w:lang w:eastAsia="en-GB"/>
                <w14:ligatures w14:val="none"/>
              </w:rPr>
              <w:t>-b</w:t>
            </w:r>
            <w:r w:rsidRPr="00324158">
              <w:rPr>
                <w:rFonts w:eastAsia="Times New Roman" w:cs="Times New Roman"/>
                <w:color w:val="000000"/>
                <w:kern w:val="0"/>
                <w:sz w:val="20"/>
                <w:szCs w:val="20"/>
                <w:lang w:eastAsia="en-GB"/>
                <w14:ligatures w14:val="none"/>
              </w:rPr>
              <w:t xml:space="preserve">orrowed </w:t>
            </w:r>
            <w:r w:rsidR="7DAFB9CB" w:rsidRPr="00324158">
              <w:rPr>
                <w:rFonts w:eastAsia="Times New Roman" w:cs="Times New Roman"/>
                <w:color w:val="000000"/>
                <w:kern w:val="0"/>
                <w:sz w:val="20"/>
                <w:szCs w:val="20"/>
                <w:lang w:eastAsia="en-GB"/>
                <w14:ligatures w14:val="none"/>
              </w:rPr>
              <w:t>p</w:t>
            </w:r>
            <w:r w:rsidRPr="00324158">
              <w:rPr>
                <w:rFonts w:eastAsia="Times New Roman" w:cs="Times New Roman"/>
                <w:color w:val="000000"/>
                <w:kern w:val="0"/>
                <w:sz w:val="20"/>
                <w:szCs w:val="20"/>
                <w:lang w:eastAsia="en-GB"/>
                <w14:ligatures w14:val="none"/>
              </w:rPr>
              <w:t xml:space="preserve">osition </w:t>
            </w:r>
            <w:r w:rsidR="7DAFB9CB" w:rsidRPr="00324158">
              <w:rPr>
                <w:rFonts w:eastAsia="Times New Roman" w:cs="Times New Roman"/>
                <w:color w:val="000000"/>
                <w:kern w:val="0"/>
                <w:sz w:val="20"/>
                <w:szCs w:val="20"/>
                <w:lang w:eastAsia="en-GB"/>
                <w14:ligatures w14:val="none"/>
              </w:rPr>
              <w:t>(5% Maturity)</w:t>
            </w:r>
          </w:p>
        </w:tc>
        <w:tc>
          <w:tcPr>
            <w:tcW w:w="1134" w:type="dxa"/>
            <w:tcBorders>
              <w:top w:val="nil"/>
              <w:left w:val="single" w:sz="4" w:space="0" w:color="auto"/>
              <w:bottom w:val="single" w:sz="4" w:space="0" w:color="auto"/>
              <w:right w:val="single" w:sz="4" w:space="0" w:color="auto"/>
            </w:tcBorders>
            <w:noWrap/>
            <w:vAlign w:val="bottom"/>
            <w:hideMark/>
          </w:tcPr>
          <w:p w14:paraId="0A43058B"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£3,293</w:t>
            </w:r>
          </w:p>
        </w:tc>
        <w:tc>
          <w:tcPr>
            <w:tcW w:w="1134" w:type="dxa"/>
            <w:tcBorders>
              <w:top w:val="nil"/>
              <w:left w:val="nil"/>
              <w:bottom w:val="single" w:sz="4" w:space="0" w:color="auto"/>
              <w:right w:val="single" w:sz="4" w:space="0" w:color="auto"/>
            </w:tcBorders>
            <w:noWrap/>
            <w:vAlign w:val="bottom"/>
            <w:hideMark/>
          </w:tcPr>
          <w:p w14:paraId="48384C4F"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£3,569</w:t>
            </w:r>
          </w:p>
        </w:tc>
        <w:tc>
          <w:tcPr>
            <w:tcW w:w="1134" w:type="dxa"/>
            <w:tcBorders>
              <w:top w:val="nil"/>
              <w:left w:val="single" w:sz="4" w:space="0" w:color="auto"/>
              <w:bottom w:val="single" w:sz="4" w:space="0" w:color="auto"/>
              <w:right w:val="single" w:sz="12" w:space="0" w:color="auto"/>
            </w:tcBorders>
            <w:noWrap/>
            <w:vAlign w:val="bottom"/>
            <w:hideMark/>
          </w:tcPr>
          <w:p w14:paraId="32D44FFC" w14:textId="77777777" w:rsidR="007E4141" w:rsidRPr="00324158" w:rsidRDefault="007E4141" w:rsidP="007E4141">
            <w:pPr>
              <w:jc w:val="right"/>
              <w:rPr>
                <w:rFonts w:eastAsia="Times New Roman" w:cs="Times New Roman"/>
                <w:color w:val="000000"/>
                <w:kern w:val="0"/>
                <w:sz w:val="20"/>
                <w:szCs w:val="20"/>
                <w:lang w:eastAsia="en-GB"/>
                <w14:ligatures w14:val="none"/>
              </w:rPr>
            </w:pPr>
            <w:r w:rsidRPr="00324158">
              <w:rPr>
                <w:rFonts w:eastAsia="Times New Roman" w:cs="Times New Roman"/>
                <w:color w:val="000000"/>
                <w:kern w:val="0"/>
                <w:sz w:val="20"/>
                <w:szCs w:val="20"/>
                <w:lang w:eastAsia="en-GB"/>
                <w14:ligatures w14:val="none"/>
              </w:rPr>
              <w:t>£3,670</w:t>
            </w:r>
          </w:p>
        </w:tc>
      </w:tr>
      <w:tr w:rsidR="00EB7551" w:rsidRPr="009D7A02" w14:paraId="3240A58D" w14:textId="77777777" w:rsidTr="00324158">
        <w:trPr>
          <w:trHeight w:val="300"/>
        </w:trPr>
        <w:tc>
          <w:tcPr>
            <w:tcW w:w="4360" w:type="dxa"/>
            <w:tcBorders>
              <w:top w:val="single" w:sz="18" w:space="0" w:color="auto"/>
              <w:left w:val="single" w:sz="18" w:space="0" w:color="auto"/>
              <w:bottom w:val="single" w:sz="18" w:space="0" w:color="auto"/>
              <w:right w:val="single" w:sz="4" w:space="0" w:color="auto"/>
            </w:tcBorders>
            <w:shd w:val="clear" w:color="auto" w:fill="D0D0D0" w:themeFill="accent2" w:themeFillTint="99"/>
            <w:noWrap/>
            <w:vAlign w:val="bottom"/>
            <w:hideMark/>
          </w:tcPr>
          <w:p w14:paraId="64CA28A7" w14:textId="77777777" w:rsidR="007E4141" w:rsidRPr="00324158" w:rsidRDefault="007E4141" w:rsidP="007E4141">
            <w:pPr>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 </w:t>
            </w:r>
          </w:p>
        </w:tc>
        <w:tc>
          <w:tcPr>
            <w:tcW w:w="1134" w:type="dxa"/>
            <w:tcBorders>
              <w:top w:val="single" w:sz="18" w:space="0" w:color="auto"/>
              <w:left w:val="nil"/>
              <w:bottom w:val="single" w:sz="18" w:space="0" w:color="auto"/>
              <w:right w:val="single" w:sz="4" w:space="0" w:color="auto"/>
            </w:tcBorders>
            <w:shd w:val="clear" w:color="auto" w:fill="D0D0D0" w:themeFill="accent2" w:themeFillTint="99"/>
            <w:noWrap/>
            <w:vAlign w:val="bottom"/>
            <w:hideMark/>
          </w:tcPr>
          <w:p w14:paraId="3A866E34" w14:textId="77777777" w:rsidR="007E4141" w:rsidRPr="00324158" w:rsidRDefault="007E4141" w:rsidP="007E4141">
            <w:pPr>
              <w:jc w:val="right"/>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£25,923</w:t>
            </w:r>
          </w:p>
        </w:tc>
        <w:tc>
          <w:tcPr>
            <w:tcW w:w="1134" w:type="dxa"/>
            <w:tcBorders>
              <w:top w:val="single" w:sz="18" w:space="0" w:color="auto"/>
              <w:left w:val="nil"/>
              <w:bottom w:val="single" w:sz="18" w:space="0" w:color="auto"/>
              <w:right w:val="single" w:sz="4" w:space="0" w:color="auto"/>
            </w:tcBorders>
            <w:shd w:val="clear" w:color="auto" w:fill="D0D0D0" w:themeFill="accent2" w:themeFillTint="99"/>
            <w:noWrap/>
            <w:vAlign w:val="bottom"/>
            <w:hideMark/>
          </w:tcPr>
          <w:p w14:paraId="523E8B12" w14:textId="77777777" w:rsidR="007E4141" w:rsidRPr="00324158" w:rsidRDefault="007E4141" w:rsidP="007E4141">
            <w:pPr>
              <w:jc w:val="right"/>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£26,056</w:t>
            </w:r>
          </w:p>
        </w:tc>
        <w:tc>
          <w:tcPr>
            <w:tcW w:w="1134" w:type="dxa"/>
            <w:tcBorders>
              <w:top w:val="single" w:sz="18" w:space="0" w:color="auto"/>
              <w:left w:val="nil"/>
              <w:bottom w:val="single" w:sz="18" w:space="0" w:color="auto"/>
              <w:right w:val="single" w:sz="18" w:space="0" w:color="auto"/>
            </w:tcBorders>
            <w:shd w:val="clear" w:color="auto" w:fill="D0D0D0" w:themeFill="accent2" w:themeFillTint="99"/>
            <w:noWrap/>
            <w:vAlign w:val="bottom"/>
            <w:hideMark/>
          </w:tcPr>
          <w:p w14:paraId="446A04A2" w14:textId="77777777" w:rsidR="007E4141" w:rsidRPr="00324158" w:rsidRDefault="007E4141" w:rsidP="007E4141">
            <w:pPr>
              <w:jc w:val="right"/>
              <w:rPr>
                <w:rFonts w:eastAsia="Times New Roman" w:cs="Times New Roman"/>
                <w:b/>
                <w:bCs/>
                <w:color w:val="000000"/>
                <w:kern w:val="0"/>
                <w:sz w:val="20"/>
                <w:szCs w:val="20"/>
                <w:lang w:eastAsia="en-GB"/>
                <w14:ligatures w14:val="none"/>
              </w:rPr>
            </w:pPr>
            <w:r w:rsidRPr="00324158">
              <w:rPr>
                <w:rFonts w:eastAsia="Times New Roman" w:cs="Times New Roman"/>
                <w:b/>
                <w:bCs/>
                <w:color w:val="000000"/>
                <w:kern w:val="0"/>
                <w:sz w:val="20"/>
                <w:szCs w:val="20"/>
                <w:lang w:eastAsia="en-GB"/>
                <w14:ligatures w14:val="none"/>
              </w:rPr>
              <w:t>£25,768</w:t>
            </w:r>
          </w:p>
        </w:tc>
      </w:tr>
    </w:tbl>
    <w:p w14:paraId="7578EF44" w14:textId="77777777" w:rsidR="00343D7D" w:rsidRPr="009D7A02" w:rsidRDefault="00343D7D" w:rsidP="00597EF7">
      <w:pPr>
        <w:pStyle w:val="ListParagraph"/>
        <w:spacing w:line="276" w:lineRule="auto"/>
        <w:ind w:left="0" w:right="140"/>
        <w:rPr>
          <w:rFonts w:ascii="Inter" w:hAnsi="Inter" w:cs="Arial"/>
          <w:szCs w:val="22"/>
        </w:rPr>
      </w:pPr>
    </w:p>
    <w:p w14:paraId="7BAB7DD2" w14:textId="2C1FB605" w:rsidR="32EC3A7F" w:rsidRPr="009D7A02" w:rsidRDefault="00343D7D" w:rsidP="2DFE4DF5">
      <w:pPr>
        <w:pStyle w:val="ListParagraph"/>
        <w:numPr>
          <w:ilvl w:val="0"/>
          <w:numId w:val="3"/>
        </w:numPr>
        <w:spacing w:line="276" w:lineRule="auto"/>
        <w:ind w:left="567" w:right="140" w:hanging="567"/>
        <w:rPr>
          <w:rFonts w:ascii="Inter" w:hAnsi="Inter" w:cs="Arial"/>
          <w:b/>
          <w:bCs/>
        </w:rPr>
      </w:pPr>
      <w:r w:rsidRPr="2DFE4DF5">
        <w:rPr>
          <w:rFonts w:ascii="Inter" w:hAnsi="Inter" w:cs="Arial"/>
        </w:rPr>
        <w:t xml:space="preserve">TVCA has provided loans to </w:t>
      </w:r>
      <w:r w:rsidR="622042F5" w:rsidRPr="2DFE4DF5">
        <w:rPr>
          <w:rFonts w:ascii="Inter" w:hAnsi="Inter" w:cs="Arial"/>
        </w:rPr>
        <w:t>local authorities</w:t>
      </w:r>
      <w:r w:rsidRPr="2DFE4DF5">
        <w:rPr>
          <w:rFonts w:ascii="Inter" w:hAnsi="Inter" w:cs="Arial"/>
        </w:rPr>
        <w:t xml:space="preserve"> within the Tees Valley, to the South Tees Development Corporation, and to commercial entities (including Teesside International Airport), all of which generate interest receivable for TVCA. The table below summarises the current loans and the forecast interest receivable associated with each.</w:t>
      </w:r>
    </w:p>
    <w:p w14:paraId="5E509B76" w14:textId="03BABF37" w:rsidR="36ED4688" w:rsidRPr="009D7A02" w:rsidRDefault="36ED4688" w:rsidP="36ED4688">
      <w:pPr>
        <w:pStyle w:val="ListParagraph"/>
        <w:spacing w:line="276" w:lineRule="auto"/>
        <w:ind w:left="0" w:right="140"/>
        <w:jc w:val="center"/>
        <w:rPr>
          <w:rFonts w:ascii="Inter" w:hAnsi="Inter" w:cs="Arial"/>
          <w:b/>
          <w:bCs/>
        </w:rPr>
      </w:pPr>
    </w:p>
    <w:p w14:paraId="186489ED" w14:textId="5CA8DA71" w:rsidR="392C0366" w:rsidRPr="009D7A02" w:rsidRDefault="392C0366" w:rsidP="16FD5590">
      <w:pPr>
        <w:pStyle w:val="ListParagraph"/>
        <w:spacing w:line="276" w:lineRule="auto"/>
        <w:ind w:left="567" w:right="140"/>
        <w:jc w:val="center"/>
        <w:rPr>
          <w:rFonts w:ascii="Inter" w:hAnsi="Inter" w:cs="Arial"/>
          <w:b/>
          <w:bCs/>
        </w:rPr>
      </w:pPr>
      <w:r w:rsidRPr="009D7A02">
        <w:rPr>
          <w:rFonts w:ascii="Inter" w:hAnsi="Inter" w:cs="Arial"/>
          <w:b/>
          <w:bCs/>
        </w:rPr>
        <w:t xml:space="preserve">Table </w:t>
      </w:r>
      <w:r w:rsidR="00DA4CF0">
        <w:rPr>
          <w:rFonts w:ascii="Inter" w:hAnsi="Inter" w:cs="Arial"/>
          <w:b/>
          <w:bCs/>
        </w:rPr>
        <w:t>1</w:t>
      </w:r>
      <w:r w:rsidR="009C75B5">
        <w:rPr>
          <w:rFonts w:ascii="Inter" w:hAnsi="Inter" w:cs="Arial"/>
          <w:b/>
          <w:bCs/>
        </w:rPr>
        <w:t>4</w:t>
      </w:r>
      <w:r w:rsidR="477F35C2" w:rsidRPr="009D7A02">
        <w:rPr>
          <w:rFonts w:ascii="Inter" w:hAnsi="Inter" w:cs="Arial"/>
          <w:b/>
          <w:bCs/>
        </w:rPr>
        <w:t>: MTFS On-lending Forecasts</w:t>
      </w:r>
    </w:p>
    <w:p w14:paraId="382B8689" w14:textId="77777777" w:rsidR="00343D7D" w:rsidRPr="009D7A02" w:rsidRDefault="00343D7D" w:rsidP="00597EF7">
      <w:pPr>
        <w:pStyle w:val="ListParagraph"/>
        <w:spacing w:line="276" w:lineRule="auto"/>
        <w:ind w:left="0" w:right="140"/>
        <w:rPr>
          <w:rFonts w:ascii="Inter" w:hAnsi="Inter" w:cs="Arial"/>
          <w:szCs w:val="22"/>
        </w:rPr>
      </w:pPr>
    </w:p>
    <w:tbl>
      <w:tblPr>
        <w:tblW w:w="8860" w:type="dxa"/>
        <w:tblInd w:w="544" w:type="dxa"/>
        <w:tblLayout w:type="fixed"/>
        <w:tblLook w:val="0000" w:firstRow="0" w:lastRow="0" w:firstColumn="0" w:lastColumn="0" w:noHBand="0" w:noVBand="0"/>
      </w:tblPr>
      <w:tblGrid>
        <w:gridCol w:w="2737"/>
        <w:gridCol w:w="1587"/>
        <w:gridCol w:w="1134"/>
        <w:gridCol w:w="1134"/>
        <w:gridCol w:w="1134"/>
        <w:gridCol w:w="1134"/>
      </w:tblGrid>
      <w:tr w:rsidR="00711459" w:rsidRPr="009D7A02" w14:paraId="57FFE06F" w14:textId="77777777" w:rsidTr="00324158">
        <w:trPr>
          <w:trHeight w:val="830"/>
        </w:trPr>
        <w:tc>
          <w:tcPr>
            <w:tcW w:w="2737" w:type="dxa"/>
            <w:tcBorders>
              <w:top w:val="single" w:sz="18" w:space="0" w:color="auto"/>
              <w:left w:val="single" w:sz="18" w:space="0" w:color="auto"/>
              <w:bottom w:val="nil"/>
              <w:right w:val="single" w:sz="6" w:space="0" w:color="auto"/>
            </w:tcBorders>
            <w:shd w:val="clear" w:color="auto" w:fill="DDDDDD" w:themeFill="accent1"/>
          </w:tcPr>
          <w:p w14:paraId="5DA7D362" w14:textId="77777777" w:rsidR="00711459" w:rsidRPr="009D7A02" w:rsidRDefault="00711459">
            <w:pPr>
              <w:autoSpaceDE w:val="0"/>
              <w:autoSpaceDN w:val="0"/>
              <w:adjustRightInd w:val="0"/>
              <w:jc w:val="right"/>
              <w:rPr>
                <w:rFonts w:cs="Inter Light"/>
                <w:color w:val="000000"/>
                <w:kern w:val="0"/>
                <w:sz w:val="20"/>
                <w:szCs w:val="20"/>
              </w:rPr>
            </w:pPr>
          </w:p>
        </w:tc>
        <w:tc>
          <w:tcPr>
            <w:tcW w:w="1587" w:type="dxa"/>
            <w:tcBorders>
              <w:top w:val="single" w:sz="18" w:space="0" w:color="auto"/>
              <w:left w:val="single" w:sz="6" w:space="0" w:color="auto"/>
              <w:bottom w:val="nil"/>
              <w:right w:val="single" w:sz="18" w:space="0" w:color="auto"/>
            </w:tcBorders>
            <w:shd w:val="clear" w:color="auto" w:fill="DFDFDF" w:themeFill="accent5" w:themeFillTint="33"/>
          </w:tcPr>
          <w:p w14:paraId="0A6535FD" w14:textId="77777777"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Opening Balance (Loan Outstanding) April 2026</w:t>
            </w:r>
          </w:p>
        </w:tc>
        <w:tc>
          <w:tcPr>
            <w:tcW w:w="1134" w:type="dxa"/>
            <w:tcBorders>
              <w:top w:val="single" w:sz="18" w:space="0" w:color="auto"/>
              <w:left w:val="nil"/>
              <w:bottom w:val="nil"/>
              <w:right w:val="single" w:sz="6" w:space="0" w:color="auto"/>
            </w:tcBorders>
            <w:shd w:val="clear" w:color="auto" w:fill="DFDFDF" w:themeFill="accent5" w:themeFillTint="33"/>
          </w:tcPr>
          <w:p w14:paraId="67D4E727" w14:textId="77777777"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Interest Forecast 2026/27</w:t>
            </w:r>
          </w:p>
        </w:tc>
        <w:tc>
          <w:tcPr>
            <w:tcW w:w="1134" w:type="dxa"/>
            <w:tcBorders>
              <w:top w:val="single" w:sz="18" w:space="0" w:color="auto"/>
              <w:left w:val="single" w:sz="6" w:space="0" w:color="auto"/>
              <w:bottom w:val="nil"/>
              <w:right w:val="single" w:sz="6" w:space="0" w:color="auto"/>
            </w:tcBorders>
            <w:shd w:val="clear" w:color="auto" w:fill="DFDFDF" w:themeFill="accent5" w:themeFillTint="33"/>
          </w:tcPr>
          <w:p w14:paraId="6DB49E81" w14:textId="7EF5FCE4"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Interest Forecast 202</w:t>
            </w:r>
            <w:r w:rsidR="003002CF" w:rsidRPr="009D7A02">
              <w:rPr>
                <w:rFonts w:cs="Inter Light"/>
                <w:b/>
                <w:bCs/>
                <w:color w:val="000000"/>
                <w:kern w:val="0"/>
                <w:sz w:val="20"/>
                <w:szCs w:val="20"/>
              </w:rPr>
              <w:t>7</w:t>
            </w:r>
            <w:r w:rsidRPr="009D7A02">
              <w:rPr>
                <w:rFonts w:cs="Inter Light"/>
                <w:b/>
                <w:bCs/>
                <w:color w:val="000000"/>
                <w:kern w:val="0"/>
                <w:sz w:val="20"/>
                <w:szCs w:val="20"/>
              </w:rPr>
              <w:t>/2</w:t>
            </w:r>
            <w:r w:rsidR="003002CF" w:rsidRPr="009D7A02">
              <w:rPr>
                <w:rFonts w:cs="Inter Light"/>
                <w:b/>
                <w:bCs/>
                <w:color w:val="000000"/>
                <w:kern w:val="0"/>
                <w:sz w:val="20"/>
                <w:szCs w:val="20"/>
              </w:rPr>
              <w:t>8</w:t>
            </w:r>
          </w:p>
        </w:tc>
        <w:tc>
          <w:tcPr>
            <w:tcW w:w="1134" w:type="dxa"/>
            <w:tcBorders>
              <w:top w:val="single" w:sz="18" w:space="0" w:color="auto"/>
              <w:left w:val="single" w:sz="6" w:space="0" w:color="auto"/>
              <w:bottom w:val="nil"/>
              <w:right w:val="single" w:sz="6" w:space="0" w:color="auto"/>
            </w:tcBorders>
            <w:shd w:val="clear" w:color="auto" w:fill="DFDFDF" w:themeFill="accent5" w:themeFillTint="33"/>
          </w:tcPr>
          <w:p w14:paraId="4531A4D0" w14:textId="2DE5D6DA"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Interest Forecast 202</w:t>
            </w:r>
            <w:r w:rsidR="003002CF" w:rsidRPr="009D7A02">
              <w:rPr>
                <w:rFonts w:cs="Inter Light"/>
                <w:b/>
                <w:bCs/>
                <w:color w:val="000000"/>
                <w:kern w:val="0"/>
                <w:sz w:val="20"/>
                <w:szCs w:val="20"/>
              </w:rPr>
              <w:t>8</w:t>
            </w:r>
            <w:r w:rsidRPr="009D7A02">
              <w:rPr>
                <w:rFonts w:cs="Inter Light"/>
                <w:b/>
                <w:bCs/>
                <w:color w:val="000000"/>
                <w:kern w:val="0"/>
                <w:sz w:val="20"/>
                <w:szCs w:val="20"/>
              </w:rPr>
              <w:t>/2</w:t>
            </w:r>
            <w:r w:rsidR="003002CF" w:rsidRPr="009D7A02">
              <w:rPr>
                <w:rFonts w:cs="Inter Light"/>
                <w:b/>
                <w:bCs/>
                <w:color w:val="000000"/>
                <w:kern w:val="0"/>
                <w:sz w:val="20"/>
                <w:szCs w:val="20"/>
              </w:rPr>
              <w:t>9</w:t>
            </w:r>
          </w:p>
        </w:tc>
        <w:tc>
          <w:tcPr>
            <w:tcW w:w="1134" w:type="dxa"/>
            <w:tcBorders>
              <w:top w:val="single" w:sz="18" w:space="0" w:color="auto"/>
              <w:left w:val="single" w:sz="6" w:space="0" w:color="auto"/>
              <w:bottom w:val="nil"/>
              <w:right w:val="single" w:sz="18" w:space="0" w:color="auto"/>
            </w:tcBorders>
            <w:shd w:val="clear" w:color="auto" w:fill="DFDFDF" w:themeFill="accent5" w:themeFillTint="33"/>
          </w:tcPr>
          <w:p w14:paraId="1C8C9369" w14:textId="6A609E6A"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Interest Forecast 202</w:t>
            </w:r>
            <w:r w:rsidR="003002CF" w:rsidRPr="009D7A02">
              <w:rPr>
                <w:rFonts w:cs="Inter Light"/>
                <w:b/>
                <w:bCs/>
                <w:color w:val="000000"/>
                <w:kern w:val="0"/>
                <w:sz w:val="20"/>
                <w:szCs w:val="20"/>
              </w:rPr>
              <w:t>9</w:t>
            </w:r>
            <w:r w:rsidRPr="009D7A02">
              <w:rPr>
                <w:rFonts w:cs="Inter Light"/>
                <w:b/>
                <w:bCs/>
                <w:color w:val="000000"/>
                <w:kern w:val="0"/>
                <w:sz w:val="20"/>
                <w:szCs w:val="20"/>
              </w:rPr>
              <w:t>/</w:t>
            </w:r>
            <w:r w:rsidR="003002CF" w:rsidRPr="009D7A02">
              <w:rPr>
                <w:rFonts w:cs="Inter Light"/>
                <w:b/>
                <w:bCs/>
                <w:color w:val="000000"/>
                <w:kern w:val="0"/>
                <w:sz w:val="20"/>
                <w:szCs w:val="20"/>
              </w:rPr>
              <w:t>30</w:t>
            </w:r>
          </w:p>
        </w:tc>
      </w:tr>
      <w:tr w:rsidR="00711459" w:rsidRPr="009D7A02" w14:paraId="26401079" w14:textId="77777777" w:rsidTr="00324158">
        <w:trPr>
          <w:trHeight w:val="314"/>
        </w:trPr>
        <w:tc>
          <w:tcPr>
            <w:tcW w:w="2737" w:type="dxa"/>
            <w:tcBorders>
              <w:top w:val="nil"/>
              <w:left w:val="single" w:sz="18" w:space="0" w:color="auto"/>
              <w:bottom w:val="nil"/>
              <w:right w:val="single" w:sz="6" w:space="0" w:color="auto"/>
            </w:tcBorders>
            <w:shd w:val="clear" w:color="auto" w:fill="DDDDDD" w:themeFill="accent1"/>
          </w:tcPr>
          <w:p w14:paraId="0E51F27F" w14:textId="77777777" w:rsidR="00711459" w:rsidRPr="009D7A02" w:rsidRDefault="00711459">
            <w:pPr>
              <w:autoSpaceDE w:val="0"/>
              <w:autoSpaceDN w:val="0"/>
              <w:adjustRightInd w:val="0"/>
              <w:jc w:val="right"/>
              <w:rPr>
                <w:rFonts w:cs="Inter Light"/>
                <w:color w:val="000000"/>
                <w:kern w:val="0"/>
                <w:sz w:val="20"/>
                <w:szCs w:val="20"/>
              </w:rPr>
            </w:pPr>
          </w:p>
        </w:tc>
        <w:tc>
          <w:tcPr>
            <w:tcW w:w="1587" w:type="dxa"/>
            <w:tcBorders>
              <w:top w:val="nil"/>
              <w:left w:val="single" w:sz="6" w:space="0" w:color="auto"/>
              <w:bottom w:val="nil"/>
              <w:right w:val="single" w:sz="18" w:space="0" w:color="auto"/>
            </w:tcBorders>
            <w:shd w:val="clear" w:color="auto" w:fill="DFDFDF" w:themeFill="accent5" w:themeFillTint="33"/>
          </w:tcPr>
          <w:p w14:paraId="78D0A263" w14:textId="77777777"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£'000</w:t>
            </w:r>
          </w:p>
        </w:tc>
        <w:tc>
          <w:tcPr>
            <w:tcW w:w="1134" w:type="dxa"/>
            <w:tcBorders>
              <w:top w:val="nil"/>
              <w:left w:val="nil"/>
              <w:bottom w:val="nil"/>
              <w:right w:val="single" w:sz="6" w:space="0" w:color="auto"/>
            </w:tcBorders>
            <w:shd w:val="clear" w:color="auto" w:fill="DFDFDF" w:themeFill="accent5" w:themeFillTint="33"/>
          </w:tcPr>
          <w:p w14:paraId="76F2AF44" w14:textId="77777777"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£'000</w:t>
            </w:r>
          </w:p>
        </w:tc>
        <w:tc>
          <w:tcPr>
            <w:tcW w:w="1134" w:type="dxa"/>
            <w:tcBorders>
              <w:top w:val="nil"/>
              <w:left w:val="single" w:sz="6" w:space="0" w:color="auto"/>
              <w:bottom w:val="nil"/>
              <w:right w:val="single" w:sz="6" w:space="0" w:color="auto"/>
            </w:tcBorders>
            <w:shd w:val="clear" w:color="auto" w:fill="DFDFDF" w:themeFill="accent5" w:themeFillTint="33"/>
          </w:tcPr>
          <w:p w14:paraId="573AB4EB" w14:textId="77777777"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£'000</w:t>
            </w:r>
          </w:p>
        </w:tc>
        <w:tc>
          <w:tcPr>
            <w:tcW w:w="1134" w:type="dxa"/>
            <w:tcBorders>
              <w:top w:val="nil"/>
              <w:left w:val="single" w:sz="6" w:space="0" w:color="auto"/>
              <w:bottom w:val="nil"/>
              <w:right w:val="single" w:sz="6" w:space="0" w:color="auto"/>
            </w:tcBorders>
            <w:shd w:val="clear" w:color="auto" w:fill="DFDFDF" w:themeFill="accent5" w:themeFillTint="33"/>
          </w:tcPr>
          <w:p w14:paraId="023B86E6" w14:textId="77777777"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£'000</w:t>
            </w:r>
          </w:p>
        </w:tc>
        <w:tc>
          <w:tcPr>
            <w:tcW w:w="1134" w:type="dxa"/>
            <w:tcBorders>
              <w:top w:val="nil"/>
              <w:left w:val="single" w:sz="6" w:space="0" w:color="auto"/>
              <w:bottom w:val="nil"/>
              <w:right w:val="single" w:sz="18" w:space="0" w:color="auto"/>
            </w:tcBorders>
            <w:shd w:val="clear" w:color="auto" w:fill="DFDFDF" w:themeFill="accent5" w:themeFillTint="33"/>
          </w:tcPr>
          <w:p w14:paraId="40B2CBC5" w14:textId="77777777" w:rsidR="00711459" w:rsidRPr="009D7A02" w:rsidRDefault="00711459">
            <w:pPr>
              <w:autoSpaceDE w:val="0"/>
              <w:autoSpaceDN w:val="0"/>
              <w:adjustRightInd w:val="0"/>
              <w:jc w:val="center"/>
              <w:rPr>
                <w:rFonts w:cs="Inter Light"/>
                <w:b/>
                <w:bCs/>
                <w:color w:val="000000"/>
                <w:kern w:val="0"/>
                <w:sz w:val="20"/>
                <w:szCs w:val="20"/>
              </w:rPr>
            </w:pPr>
            <w:r w:rsidRPr="009D7A02">
              <w:rPr>
                <w:rFonts w:cs="Inter Light"/>
                <w:b/>
                <w:bCs/>
                <w:color w:val="000000"/>
                <w:kern w:val="0"/>
                <w:sz w:val="20"/>
                <w:szCs w:val="20"/>
              </w:rPr>
              <w:t>£'000</w:t>
            </w:r>
          </w:p>
        </w:tc>
      </w:tr>
      <w:tr w:rsidR="00711459" w:rsidRPr="009D7A02" w14:paraId="15DE27CD" w14:textId="77777777" w:rsidTr="00324158">
        <w:trPr>
          <w:trHeight w:val="314"/>
        </w:trPr>
        <w:tc>
          <w:tcPr>
            <w:tcW w:w="2737" w:type="dxa"/>
            <w:tcBorders>
              <w:top w:val="single" w:sz="18" w:space="0" w:color="auto"/>
              <w:left w:val="single" w:sz="18" w:space="0" w:color="auto"/>
              <w:bottom w:val="single" w:sz="6" w:space="0" w:color="auto"/>
              <w:right w:val="single" w:sz="6" w:space="0" w:color="auto"/>
            </w:tcBorders>
            <w:shd w:val="clear" w:color="auto" w:fill="DDDDDD" w:themeFill="accent1"/>
          </w:tcPr>
          <w:p w14:paraId="02C4BC84" w14:textId="77777777" w:rsidR="00711459" w:rsidRPr="009D7A02" w:rsidRDefault="00711459">
            <w:pPr>
              <w:autoSpaceDE w:val="0"/>
              <w:autoSpaceDN w:val="0"/>
              <w:adjustRightInd w:val="0"/>
              <w:rPr>
                <w:rFonts w:cs="Aptos Narrow"/>
                <w:color w:val="000000"/>
                <w:kern w:val="0"/>
                <w:sz w:val="20"/>
                <w:szCs w:val="20"/>
              </w:rPr>
            </w:pPr>
            <w:r w:rsidRPr="009D7A02">
              <w:rPr>
                <w:rFonts w:cs="Aptos Narrow"/>
                <w:color w:val="000000"/>
                <w:kern w:val="0"/>
                <w:sz w:val="20"/>
                <w:szCs w:val="20"/>
              </w:rPr>
              <w:t>Loans to STDC</w:t>
            </w:r>
          </w:p>
        </w:tc>
        <w:tc>
          <w:tcPr>
            <w:tcW w:w="1587" w:type="dxa"/>
            <w:tcBorders>
              <w:top w:val="single" w:sz="18" w:space="0" w:color="auto"/>
              <w:left w:val="single" w:sz="6" w:space="0" w:color="auto"/>
              <w:bottom w:val="single" w:sz="6" w:space="0" w:color="auto"/>
              <w:right w:val="single" w:sz="18" w:space="0" w:color="auto"/>
            </w:tcBorders>
          </w:tcPr>
          <w:p w14:paraId="5080BD2A"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391,656</w:t>
            </w:r>
          </w:p>
        </w:tc>
        <w:tc>
          <w:tcPr>
            <w:tcW w:w="1134" w:type="dxa"/>
            <w:tcBorders>
              <w:top w:val="single" w:sz="18" w:space="0" w:color="auto"/>
              <w:left w:val="nil"/>
              <w:bottom w:val="single" w:sz="6" w:space="0" w:color="auto"/>
              <w:right w:val="single" w:sz="6" w:space="0" w:color="auto"/>
            </w:tcBorders>
          </w:tcPr>
          <w:p w14:paraId="75E5CA5A"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14,251</w:t>
            </w:r>
          </w:p>
        </w:tc>
        <w:tc>
          <w:tcPr>
            <w:tcW w:w="1134" w:type="dxa"/>
            <w:tcBorders>
              <w:top w:val="single" w:sz="18" w:space="0" w:color="auto"/>
              <w:left w:val="single" w:sz="6" w:space="0" w:color="auto"/>
              <w:bottom w:val="single" w:sz="6" w:space="0" w:color="auto"/>
              <w:right w:val="single" w:sz="6" w:space="0" w:color="auto"/>
            </w:tcBorders>
          </w:tcPr>
          <w:p w14:paraId="0B90C43A"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14,780</w:t>
            </w:r>
          </w:p>
        </w:tc>
        <w:tc>
          <w:tcPr>
            <w:tcW w:w="1134" w:type="dxa"/>
            <w:tcBorders>
              <w:top w:val="single" w:sz="18" w:space="0" w:color="auto"/>
              <w:left w:val="single" w:sz="6" w:space="0" w:color="auto"/>
              <w:bottom w:val="single" w:sz="6" w:space="0" w:color="auto"/>
              <w:right w:val="single" w:sz="6" w:space="0" w:color="auto"/>
            </w:tcBorders>
          </w:tcPr>
          <w:p w14:paraId="4BC49D57"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15,227</w:t>
            </w:r>
          </w:p>
        </w:tc>
        <w:tc>
          <w:tcPr>
            <w:tcW w:w="1134" w:type="dxa"/>
            <w:tcBorders>
              <w:top w:val="single" w:sz="18" w:space="0" w:color="auto"/>
              <w:left w:val="single" w:sz="6" w:space="0" w:color="auto"/>
              <w:bottom w:val="single" w:sz="6" w:space="0" w:color="auto"/>
              <w:right w:val="single" w:sz="18" w:space="0" w:color="auto"/>
            </w:tcBorders>
          </w:tcPr>
          <w:p w14:paraId="50D4FC41"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15,832</w:t>
            </w:r>
          </w:p>
        </w:tc>
      </w:tr>
      <w:tr w:rsidR="00711459" w:rsidRPr="009D7A02" w14:paraId="01A70F77" w14:textId="77777777" w:rsidTr="00324158">
        <w:trPr>
          <w:trHeight w:val="305"/>
        </w:trPr>
        <w:tc>
          <w:tcPr>
            <w:tcW w:w="2737" w:type="dxa"/>
            <w:tcBorders>
              <w:top w:val="single" w:sz="6" w:space="0" w:color="auto"/>
              <w:left w:val="single" w:sz="18" w:space="0" w:color="auto"/>
              <w:bottom w:val="single" w:sz="6" w:space="0" w:color="auto"/>
              <w:right w:val="single" w:sz="6" w:space="0" w:color="auto"/>
            </w:tcBorders>
            <w:shd w:val="clear" w:color="auto" w:fill="DDDDDD" w:themeFill="accent1"/>
          </w:tcPr>
          <w:p w14:paraId="06A9A351" w14:textId="77777777" w:rsidR="00711459" w:rsidRPr="009D7A02" w:rsidRDefault="00711459">
            <w:pPr>
              <w:autoSpaceDE w:val="0"/>
              <w:autoSpaceDN w:val="0"/>
              <w:adjustRightInd w:val="0"/>
              <w:rPr>
                <w:rFonts w:cs="Aptos Narrow"/>
                <w:color w:val="000000"/>
                <w:kern w:val="0"/>
                <w:sz w:val="20"/>
                <w:szCs w:val="20"/>
              </w:rPr>
            </w:pPr>
            <w:r w:rsidRPr="009D7A02">
              <w:rPr>
                <w:rFonts w:cs="Aptos Narrow"/>
                <w:color w:val="000000"/>
                <w:kern w:val="0"/>
                <w:sz w:val="20"/>
                <w:szCs w:val="20"/>
              </w:rPr>
              <w:t>Loans to Airport</w:t>
            </w:r>
          </w:p>
        </w:tc>
        <w:tc>
          <w:tcPr>
            <w:tcW w:w="1587" w:type="dxa"/>
            <w:tcBorders>
              <w:top w:val="single" w:sz="6" w:space="0" w:color="auto"/>
              <w:left w:val="single" w:sz="6" w:space="0" w:color="auto"/>
              <w:bottom w:val="single" w:sz="6" w:space="0" w:color="auto"/>
              <w:right w:val="single" w:sz="18" w:space="0" w:color="auto"/>
            </w:tcBorders>
          </w:tcPr>
          <w:p w14:paraId="34EB049D"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157,896</w:t>
            </w:r>
          </w:p>
        </w:tc>
        <w:tc>
          <w:tcPr>
            <w:tcW w:w="1134" w:type="dxa"/>
            <w:tcBorders>
              <w:top w:val="single" w:sz="6" w:space="0" w:color="auto"/>
              <w:left w:val="nil"/>
              <w:bottom w:val="single" w:sz="6" w:space="0" w:color="auto"/>
              <w:right w:val="single" w:sz="6" w:space="0" w:color="auto"/>
            </w:tcBorders>
          </w:tcPr>
          <w:p w14:paraId="371CB8A1"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6,189</w:t>
            </w:r>
          </w:p>
        </w:tc>
        <w:tc>
          <w:tcPr>
            <w:tcW w:w="1134" w:type="dxa"/>
            <w:tcBorders>
              <w:top w:val="single" w:sz="6" w:space="0" w:color="auto"/>
              <w:left w:val="single" w:sz="6" w:space="0" w:color="auto"/>
              <w:bottom w:val="single" w:sz="6" w:space="0" w:color="auto"/>
              <w:right w:val="single" w:sz="6" w:space="0" w:color="auto"/>
            </w:tcBorders>
          </w:tcPr>
          <w:p w14:paraId="63E3B7CD"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6,475</w:t>
            </w:r>
          </w:p>
        </w:tc>
        <w:tc>
          <w:tcPr>
            <w:tcW w:w="1134" w:type="dxa"/>
            <w:tcBorders>
              <w:top w:val="single" w:sz="6" w:space="0" w:color="auto"/>
              <w:left w:val="single" w:sz="6" w:space="0" w:color="auto"/>
              <w:bottom w:val="single" w:sz="6" w:space="0" w:color="auto"/>
              <w:right w:val="single" w:sz="6" w:space="0" w:color="auto"/>
            </w:tcBorders>
          </w:tcPr>
          <w:p w14:paraId="320F1FF8"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6,734</w:t>
            </w:r>
          </w:p>
        </w:tc>
        <w:tc>
          <w:tcPr>
            <w:tcW w:w="1134" w:type="dxa"/>
            <w:tcBorders>
              <w:top w:val="single" w:sz="6" w:space="0" w:color="auto"/>
              <w:left w:val="single" w:sz="6" w:space="0" w:color="auto"/>
              <w:bottom w:val="single" w:sz="6" w:space="0" w:color="auto"/>
              <w:right w:val="single" w:sz="18" w:space="0" w:color="auto"/>
            </w:tcBorders>
          </w:tcPr>
          <w:p w14:paraId="094A4789"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7,048</w:t>
            </w:r>
          </w:p>
        </w:tc>
      </w:tr>
      <w:tr w:rsidR="00711459" w:rsidRPr="009D7A02" w14:paraId="152C541D" w14:textId="77777777" w:rsidTr="00324158">
        <w:trPr>
          <w:trHeight w:val="314"/>
        </w:trPr>
        <w:tc>
          <w:tcPr>
            <w:tcW w:w="2737" w:type="dxa"/>
            <w:tcBorders>
              <w:top w:val="single" w:sz="6" w:space="0" w:color="auto"/>
              <w:left w:val="single" w:sz="18" w:space="0" w:color="auto"/>
              <w:bottom w:val="single" w:sz="18" w:space="0" w:color="auto"/>
              <w:right w:val="single" w:sz="6" w:space="0" w:color="auto"/>
            </w:tcBorders>
            <w:shd w:val="clear" w:color="auto" w:fill="DDDDDD" w:themeFill="accent1"/>
          </w:tcPr>
          <w:p w14:paraId="010900A8" w14:textId="77777777" w:rsidR="00711459" w:rsidRPr="009D7A02" w:rsidRDefault="00711459">
            <w:pPr>
              <w:autoSpaceDE w:val="0"/>
              <w:autoSpaceDN w:val="0"/>
              <w:adjustRightInd w:val="0"/>
              <w:rPr>
                <w:rFonts w:cs="Aptos Narrow"/>
                <w:color w:val="000000"/>
                <w:kern w:val="0"/>
                <w:sz w:val="20"/>
                <w:szCs w:val="20"/>
              </w:rPr>
            </w:pPr>
            <w:r w:rsidRPr="009D7A02">
              <w:rPr>
                <w:rFonts w:cs="Aptos Narrow"/>
                <w:color w:val="000000"/>
                <w:kern w:val="0"/>
                <w:sz w:val="20"/>
                <w:szCs w:val="20"/>
              </w:rPr>
              <w:t>Loans to Outside Bodies</w:t>
            </w:r>
          </w:p>
        </w:tc>
        <w:tc>
          <w:tcPr>
            <w:tcW w:w="1587" w:type="dxa"/>
            <w:tcBorders>
              <w:top w:val="single" w:sz="6" w:space="0" w:color="auto"/>
              <w:left w:val="single" w:sz="6" w:space="0" w:color="auto"/>
              <w:bottom w:val="single" w:sz="18" w:space="0" w:color="auto"/>
              <w:right w:val="single" w:sz="18" w:space="0" w:color="auto"/>
            </w:tcBorders>
          </w:tcPr>
          <w:p w14:paraId="516AD7E4"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12,251</w:t>
            </w:r>
          </w:p>
        </w:tc>
        <w:tc>
          <w:tcPr>
            <w:tcW w:w="1134" w:type="dxa"/>
            <w:tcBorders>
              <w:top w:val="single" w:sz="6" w:space="0" w:color="auto"/>
              <w:left w:val="nil"/>
              <w:bottom w:val="single" w:sz="18" w:space="0" w:color="auto"/>
              <w:right w:val="single" w:sz="6" w:space="0" w:color="auto"/>
            </w:tcBorders>
          </w:tcPr>
          <w:p w14:paraId="0AE92746"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238</w:t>
            </w:r>
          </w:p>
        </w:tc>
        <w:tc>
          <w:tcPr>
            <w:tcW w:w="1134" w:type="dxa"/>
            <w:tcBorders>
              <w:top w:val="single" w:sz="6" w:space="0" w:color="auto"/>
              <w:left w:val="single" w:sz="6" w:space="0" w:color="auto"/>
              <w:bottom w:val="single" w:sz="18" w:space="0" w:color="auto"/>
              <w:right w:val="single" w:sz="6" w:space="0" w:color="auto"/>
            </w:tcBorders>
          </w:tcPr>
          <w:p w14:paraId="2D9460B4" w14:textId="77777777" w:rsidR="00711459" w:rsidRPr="009D7A02"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190</w:t>
            </w:r>
          </w:p>
        </w:tc>
        <w:tc>
          <w:tcPr>
            <w:tcW w:w="1134" w:type="dxa"/>
            <w:tcBorders>
              <w:top w:val="single" w:sz="6" w:space="0" w:color="auto"/>
              <w:left w:val="single" w:sz="6" w:space="0" w:color="auto"/>
              <w:bottom w:val="single" w:sz="18" w:space="0" w:color="auto"/>
              <w:right w:val="single" w:sz="6" w:space="0" w:color="auto"/>
            </w:tcBorders>
          </w:tcPr>
          <w:p w14:paraId="304E9CAD" w14:textId="60EA050D" w:rsidR="00D10624" w:rsidRPr="009D7A02" w:rsidRDefault="00711459" w:rsidP="003D6010">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14</w:t>
            </w:r>
            <w:r w:rsidR="00D10624">
              <w:rPr>
                <w:rFonts w:cs="Aptos Narrow"/>
                <w:color w:val="000000"/>
                <w:kern w:val="0"/>
                <w:sz w:val="20"/>
                <w:szCs w:val="20"/>
              </w:rPr>
              <w:t>4</w:t>
            </w:r>
          </w:p>
        </w:tc>
        <w:tc>
          <w:tcPr>
            <w:tcW w:w="1134" w:type="dxa"/>
            <w:tcBorders>
              <w:top w:val="single" w:sz="6" w:space="0" w:color="auto"/>
              <w:left w:val="single" w:sz="6" w:space="0" w:color="auto"/>
              <w:bottom w:val="single" w:sz="18" w:space="0" w:color="auto"/>
              <w:right w:val="single" w:sz="18" w:space="0" w:color="auto"/>
            </w:tcBorders>
          </w:tcPr>
          <w:p w14:paraId="5E8DCF94" w14:textId="77777777" w:rsidR="00711459" w:rsidRDefault="00711459">
            <w:pPr>
              <w:autoSpaceDE w:val="0"/>
              <w:autoSpaceDN w:val="0"/>
              <w:adjustRightInd w:val="0"/>
              <w:jc w:val="right"/>
              <w:rPr>
                <w:rFonts w:cs="Aptos Narrow"/>
                <w:color w:val="000000"/>
                <w:kern w:val="0"/>
                <w:sz w:val="20"/>
                <w:szCs w:val="20"/>
              </w:rPr>
            </w:pPr>
            <w:r w:rsidRPr="009D7A02">
              <w:rPr>
                <w:rFonts w:cs="Aptos Narrow"/>
                <w:color w:val="000000"/>
                <w:kern w:val="0"/>
                <w:sz w:val="20"/>
                <w:szCs w:val="20"/>
              </w:rPr>
              <w:t>14</w:t>
            </w:r>
            <w:r w:rsidR="00343AA2">
              <w:rPr>
                <w:rFonts w:cs="Aptos Narrow"/>
                <w:color w:val="000000"/>
                <w:kern w:val="0"/>
                <w:sz w:val="20"/>
                <w:szCs w:val="20"/>
              </w:rPr>
              <w:t>4</w:t>
            </w:r>
          </w:p>
          <w:p w14:paraId="52DD7708" w14:textId="3E712CCE" w:rsidR="00343AA2" w:rsidRPr="009D7A02" w:rsidRDefault="00343AA2">
            <w:pPr>
              <w:autoSpaceDE w:val="0"/>
              <w:autoSpaceDN w:val="0"/>
              <w:adjustRightInd w:val="0"/>
              <w:jc w:val="right"/>
              <w:rPr>
                <w:rFonts w:cs="Aptos Narrow"/>
                <w:color w:val="000000"/>
                <w:kern w:val="0"/>
                <w:sz w:val="20"/>
                <w:szCs w:val="20"/>
              </w:rPr>
            </w:pPr>
          </w:p>
        </w:tc>
      </w:tr>
      <w:tr w:rsidR="00711459" w:rsidRPr="009D7A02" w14:paraId="1B9CC597" w14:textId="77777777" w:rsidTr="00294408">
        <w:trPr>
          <w:trHeight w:val="227"/>
        </w:trPr>
        <w:tc>
          <w:tcPr>
            <w:tcW w:w="2737" w:type="dxa"/>
            <w:tcBorders>
              <w:top w:val="single" w:sz="18" w:space="0" w:color="auto"/>
              <w:left w:val="single" w:sz="18" w:space="0" w:color="auto"/>
              <w:bottom w:val="single" w:sz="18" w:space="0" w:color="auto"/>
              <w:right w:val="single" w:sz="6" w:space="0" w:color="auto"/>
            </w:tcBorders>
            <w:shd w:val="clear" w:color="auto" w:fill="DDDDDD" w:themeFill="accent1"/>
          </w:tcPr>
          <w:p w14:paraId="60A386B8" w14:textId="2935423B" w:rsidR="00711459" w:rsidRPr="009D7A02" w:rsidRDefault="6B4DE957" w:rsidP="675F85CE">
            <w:pPr>
              <w:autoSpaceDE w:val="0"/>
              <w:autoSpaceDN w:val="0"/>
              <w:adjustRightInd w:val="0"/>
              <w:rPr>
                <w:rFonts w:cs="Aptos Narrow"/>
                <w:b/>
                <w:color w:val="000000"/>
                <w:kern w:val="0"/>
                <w:sz w:val="20"/>
                <w:szCs w:val="20"/>
              </w:rPr>
            </w:pPr>
            <w:r w:rsidRPr="009D7A02">
              <w:rPr>
                <w:rFonts w:cs="Aptos Narrow"/>
                <w:b/>
                <w:sz w:val="20"/>
                <w:szCs w:val="20"/>
              </w:rPr>
              <w:t>Total</w:t>
            </w:r>
          </w:p>
        </w:tc>
        <w:tc>
          <w:tcPr>
            <w:tcW w:w="1587" w:type="dxa"/>
            <w:tcBorders>
              <w:top w:val="single" w:sz="18" w:space="0" w:color="auto"/>
              <w:left w:val="single" w:sz="6" w:space="0" w:color="auto"/>
              <w:bottom w:val="single" w:sz="18" w:space="0" w:color="auto"/>
              <w:right w:val="single" w:sz="18" w:space="0" w:color="auto"/>
            </w:tcBorders>
            <w:shd w:val="clear" w:color="auto" w:fill="DDDDDD" w:themeFill="accent1"/>
          </w:tcPr>
          <w:p w14:paraId="7C7424CB" w14:textId="77777777" w:rsidR="00711459" w:rsidRPr="009D7A02" w:rsidRDefault="00711459">
            <w:pPr>
              <w:autoSpaceDE w:val="0"/>
              <w:autoSpaceDN w:val="0"/>
              <w:adjustRightInd w:val="0"/>
              <w:jc w:val="right"/>
              <w:rPr>
                <w:rFonts w:cs="Aptos Narrow"/>
                <w:color w:val="000000"/>
                <w:kern w:val="0"/>
                <w:sz w:val="20"/>
                <w:szCs w:val="20"/>
              </w:rPr>
            </w:pPr>
          </w:p>
        </w:tc>
        <w:tc>
          <w:tcPr>
            <w:tcW w:w="1134" w:type="dxa"/>
            <w:tcBorders>
              <w:top w:val="single" w:sz="18" w:space="0" w:color="auto"/>
              <w:left w:val="nil"/>
              <w:bottom w:val="single" w:sz="18" w:space="0" w:color="auto"/>
              <w:right w:val="single" w:sz="6" w:space="0" w:color="auto"/>
            </w:tcBorders>
            <w:shd w:val="clear" w:color="auto" w:fill="DDDDDD" w:themeFill="accent1"/>
          </w:tcPr>
          <w:p w14:paraId="0EB48BCA" w14:textId="77777777" w:rsidR="00711459" w:rsidRPr="009D7A02" w:rsidRDefault="00711459">
            <w:pPr>
              <w:autoSpaceDE w:val="0"/>
              <w:autoSpaceDN w:val="0"/>
              <w:adjustRightInd w:val="0"/>
              <w:jc w:val="right"/>
              <w:rPr>
                <w:rFonts w:cs="Aptos Narrow"/>
                <w:b/>
                <w:color w:val="000000"/>
                <w:kern w:val="0"/>
                <w:sz w:val="20"/>
                <w:szCs w:val="20"/>
              </w:rPr>
            </w:pPr>
            <w:r w:rsidRPr="009D7A02">
              <w:rPr>
                <w:rFonts w:cs="Aptos Narrow"/>
                <w:b/>
                <w:color w:val="000000"/>
                <w:kern w:val="0"/>
                <w:sz w:val="20"/>
                <w:szCs w:val="20"/>
              </w:rPr>
              <w:t>20,678</w:t>
            </w:r>
          </w:p>
        </w:tc>
        <w:tc>
          <w:tcPr>
            <w:tcW w:w="1134" w:type="dxa"/>
            <w:tcBorders>
              <w:top w:val="single" w:sz="18" w:space="0" w:color="auto"/>
              <w:left w:val="single" w:sz="6" w:space="0" w:color="auto"/>
              <w:bottom w:val="single" w:sz="18" w:space="0" w:color="auto"/>
              <w:right w:val="single" w:sz="6" w:space="0" w:color="auto"/>
            </w:tcBorders>
            <w:shd w:val="clear" w:color="auto" w:fill="DDDDDD" w:themeFill="accent1"/>
          </w:tcPr>
          <w:p w14:paraId="3F638A97" w14:textId="77777777" w:rsidR="00711459" w:rsidRPr="009D7A02" w:rsidRDefault="00711459">
            <w:pPr>
              <w:autoSpaceDE w:val="0"/>
              <w:autoSpaceDN w:val="0"/>
              <w:adjustRightInd w:val="0"/>
              <w:jc w:val="right"/>
              <w:rPr>
                <w:rFonts w:cs="Aptos Narrow"/>
                <w:b/>
                <w:color w:val="000000"/>
                <w:kern w:val="0"/>
                <w:sz w:val="20"/>
                <w:szCs w:val="20"/>
              </w:rPr>
            </w:pPr>
            <w:r w:rsidRPr="009D7A02">
              <w:rPr>
                <w:rFonts w:cs="Aptos Narrow"/>
                <w:b/>
                <w:color w:val="000000"/>
                <w:kern w:val="0"/>
                <w:sz w:val="20"/>
                <w:szCs w:val="20"/>
              </w:rPr>
              <w:t>21,445</w:t>
            </w:r>
          </w:p>
        </w:tc>
        <w:tc>
          <w:tcPr>
            <w:tcW w:w="1134" w:type="dxa"/>
            <w:tcBorders>
              <w:top w:val="single" w:sz="18" w:space="0" w:color="auto"/>
              <w:left w:val="single" w:sz="6" w:space="0" w:color="auto"/>
              <w:bottom w:val="single" w:sz="18" w:space="0" w:color="auto"/>
              <w:right w:val="single" w:sz="6" w:space="0" w:color="auto"/>
            </w:tcBorders>
            <w:shd w:val="clear" w:color="auto" w:fill="DDDDDD" w:themeFill="accent1"/>
          </w:tcPr>
          <w:p w14:paraId="68C8A443" w14:textId="77777777" w:rsidR="00711459" w:rsidRPr="009D7A02" w:rsidRDefault="00711459">
            <w:pPr>
              <w:autoSpaceDE w:val="0"/>
              <w:autoSpaceDN w:val="0"/>
              <w:adjustRightInd w:val="0"/>
              <w:jc w:val="right"/>
              <w:rPr>
                <w:rFonts w:cs="Aptos Narrow"/>
                <w:b/>
                <w:color w:val="000000"/>
                <w:kern w:val="0"/>
                <w:sz w:val="20"/>
                <w:szCs w:val="20"/>
              </w:rPr>
            </w:pPr>
            <w:r w:rsidRPr="009D7A02">
              <w:rPr>
                <w:rFonts w:cs="Aptos Narrow"/>
                <w:b/>
                <w:color w:val="000000"/>
                <w:kern w:val="0"/>
                <w:sz w:val="20"/>
                <w:szCs w:val="20"/>
              </w:rPr>
              <w:t>22,105</w:t>
            </w:r>
          </w:p>
        </w:tc>
        <w:tc>
          <w:tcPr>
            <w:tcW w:w="1134" w:type="dxa"/>
            <w:tcBorders>
              <w:top w:val="single" w:sz="18" w:space="0" w:color="auto"/>
              <w:left w:val="single" w:sz="6" w:space="0" w:color="auto"/>
              <w:bottom w:val="single" w:sz="18" w:space="0" w:color="auto"/>
              <w:right w:val="single" w:sz="18" w:space="0" w:color="auto"/>
            </w:tcBorders>
            <w:shd w:val="clear" w:color="auto" w:fill="DDDDDD" w:themeFill="accent1"/>
          </w:tcPr>
          <w:p w14:paraId="74527D45" w14:textId="77777777" w:rsidR="00711459" w:rsidRPr="009D7A02" w:rsidRDefault="00711459">
            <w:pPr>
              <w:autoSpaceDE w:val="0"/>
              <w:autoSpaceDN w:val="0"/>
              <w:adjustRightInd w:val="0"/>
              <w:jc w:val="right"/>
              <w:rPr>
                <w:rFonts w:cs="Aptos Narrow"/>
                <w:b/>
                <w:color w:val="000000"/>
                <w:kern w:val="0"/>
                <w:sz w:val="20"/>
                <w:szCs w:val="20"/>
              </w:rPr>
            </w:pPr>
            <w:r w:rsidRPr="009D7A02">
              <w:rPr>
                <w:rFonts w:cs="Aptos Narrow"/>
                <w:b/>
                <w:color w:val="000000"/>
                <w:kern w:val="0"/>
                <w:sz w:val="20"/>
                <w:szCs w:val="20"/>
              </w:rPr>
              <w:t>23,024</w:t>
            </w:r>
          </w:p>
        </w:tc>
      </w:tr>
    </w:tbl>
    <w:p w14:paraId="2C8A9954" w14:textId="77777777" w:rsidR="000F4465" w:rsidRPr="009D7A02" w:rsidRDefault="000F4465" w:rsidP="00597EF7">
      <w:pPr>
        <w:pStyle w:val="ListParagraph"/>
        <w:spacing w:line="276" w:lineRule="auto"/>
        <w:ind w:left="0" w:right="140"/>
        <w:rPr>
          <w:rFonts w:ascii="Inter" w:hAnsi="Inter" w:cs="Arial"/>
          <w:szCs w:val="22"/>
        </w:rPr>
      </w:pPr>
    </w:p>
    <w:p w14:paraId="0551FE05" w14:textId="110DDFF1" w:rsidR="000F4465" w:rsidRPr="009D7A02" w:rsidRDefault="000F4465"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 xml:space="preserve">A more detailed breakdown of the loans and the anticipated repayment schedule is provided in </w:t>
      </w:r>
      <w:r w:rsidRPr="2DFE4DF5">
        <w:rPr>
          <w:rFonts w:ascii="Inter" w:hAnsi="Inter" w:cs="Arial"/>
          <w:b/>
          <w:bCs/>
        </w:rPr>
        <w:t xml:space="preserve">Appendix </w:t>
      </w:r>
      <w:r w:rsidR="00E7728A" w:rsidRPr="2DFE4DF5">
        <w:rPr>
          <w:rFonts w:ascii="Inter" w:hAnsi="Inter" w:cs="Arial"/>
          <w:b/>
          <w:bCs/>
        </w:rPr>
        <w:t>3</w:t>
      </w:r>
      <w:r w:rsidRPr="2DFE4DF5">
        <w:rPr>
          <w:rFonts w:ascii="Inter" w:hAnsi="Inter" w:cs="Arial"/>
        </w:rPr>
        <w:t>.</w:t>
      </w:r>
      <w:r w:rsidR="770472EE" w:rsidRPr="2DFE4DF5">
        <w:rPr>
          <w:rFonts w:ascii="Inter" w:hAnsi="Inter" w:cs="Arial"/>
        </w:rPr>
        <w:t xml:space="preserve">  As can be seen from the table above, no further loan advances are currently forecast to </w:t>
      </w:r>
      <w:r w:rsidR="676B3B36" w:rsidRPr="2DFE4DF5">
        <w:rPr>
          <w:rFonts w:ascii="Inter" w:hAnsi="Inter" w:cs="Arial"/>
        </w:rPr>
        <w:t>be advanced in 2026/27.</w:t>
      </w:r>
    </w:p>
    <w:p w14:paraId="4C63BE98" w14:textId="77777777" w:rsidR="000F4465" w:rsidRPr="009D7A02" w:rsidRDefault="000F4465" w:rsidP="00BE2502">
      <w:pPr>
        <w:pStyle w:val="ListParagraph"/>
        <w:spacing w:line="276" w:lineRule="auto"/>
        <w:ind w:left="567" w:right="140" w:hanging="567"/>
        <w:rPr>
          <w:rFonts w:ascii="Inter" w:hAnsi="Inter" w:cs="Arial"/>
        </w:rPr>
      </w:pPr>
    </w:p>
    <w:p w14:paraId="3A9518BF" w14:textId="3DC60ED2" w:rsidR="1056C8F9" w:rsidRPr="009D7A02" w:rsidRDefault="6CE3FDB7"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 xml:space="preserve">TVCA Cabinet has approved a loan facility to STDC of £350m.  At the end of 2025/26, the total drawdown is estimated to be </w:t>
      </w:r>
      <w:r w:rsidR="051DB1A5" w:rsidRPr="2DFE4DF5">
        <w:rPr>
          <w:rFonts w:ascii="Inter" w:hAnsi="Inter" w:cs="Arial"/>
        </w:rPr>
        <w:t>c</w:t>
      </w:r>
      <w:r w:rsidRPr="2DFE4DF5">
        <w:rPr>
          <w:rFonts w:ascii="Inter" w:hAnsi="Inter" w:cs="Arial"/>
        </w:rPr>
        <w:t>£</w:t>
      </w:r>
      <w:r w:rsidR="05BB0EFF" w:rsidRPr="2DFE4DF5">
        <w:rPr>
          <w:rFonts w:ascii="Inter" w:hAnsi="Inter" w:cs="Arial"/>
        </w:rPr>
        <w:t>260</w:t>
      </w:r>
      <w:r w:rsidRPr="2DFE4DF5">
        <w:rPr>
          <w:rFonts w:ascii="Inter" w:hAnsi="Inter" w:cs="Arial"/>
        </w:rPr>
        <w:t>m.  This leave</w:t>
      </w:r>
      <w:r w:rsidR="47A9FA89" w:rsidRPr="2DFE4DF5">
        <w:rPr>
          <w:rFonts w:ascii="Inter" w:hAnsi="Inter" w:cs="Arial"/>
        </w:rPr>
        <w:t>s</w:t>
      </w:r>
      <w:r w:rsidRPr="2DFE4DF5">
        <w:rPr>
          <w:rFonts w:ascii="Inter" w:hAnsi="Inter" w:cs="Arial"/>
        </w:rPr>
        <w:t xml:space="preserve"> £</w:t>
      </w:r>
      <w:r w:rsidR="50701DB4" w:rsidRPr="2DFE4DF5">
        <w:rPr>
          <w:rFonts w:ascii="Inter" w:hAnsi="Inter" w:cs="Arial"/>
        </w:rPr>
        <w:t>90</w:t>
      </w:r>
      <w:r w:rsidRPr="2DFE4DF5">
        <w:rPr>
          <w:rFonts w:ascii="Inter" w:hAnsi="Inter" w:cs="Arial"/>
        </w:rPr>
        <w:t>m available to be drawn down.  STDC</w:t>
      </w:r>
      <w:r w:rsidR="2C085CFC" w:rsidRPr="2DFE4DF5">
        <w:rPr>
          <w:rFonts w:ascii="Inter" w:hAnsi="Inter" w:cs="Arial"/>
        </w:rPr>
        <w:t xml:space="preserve"> is currently working on its capital programme for the new MTFS period.  However, following the one-year plus one-day interest due holiday</w:t>
      </w:r>
      <w:r w:rsidR="54749114" w:rsidRPr="2DFE4DF5">
        <w:rPr>
          <w:rFonts w:ascii="Inter" w:hAnsi="Inter" w:cs="Arial"/>
        </w:rPr>
        <w:t xml:space="preserve">, interest </w:t>
      </w:r>
      <w:r w:rsidR="0D67A065" w:rsidRPr="2DFE4DF5">
        <w:rPr>
          <w:rFonts w:ascii="Inter" w:hAnsi="Inter" w:cs="Arial"/>
        </w:rPr>
        <w:t xml:space="preserve">on any further borrowing in 2026/27 </w:t>
      </w:r>
      <w:r w:rsidR="54749114" w:rsidRPr="2DFE4DF5">
        <w:rPr>
          <w:rFonts w:ascii="Inter" w:hAnsi="Inter" w:cs="Arial"/>
        </w:rPr>
        <w:t>would not be due until 2028/29.</w:t>
      </w:r>
    </w:p>
    <w:p w14:paraId="32FFC81B" w14:textId="454DFF21" w:rsidR="76E7C48E" w:rsidRPr="009D7A02" w:rsidRDefault="76E7C48E" w:rsidP="00BE2502">
      <w:pPr>
        <w:pStyle w:val="ListParagraph"/>
        <w:spacing w:line="276" w:lineRule="auto"/>
        <w:ind w:left="567" w:right="140" w:hanging="567"/>
        <w:rPr>
          <w:rFonts w:ascii="Inter" w:hAnsi="Inter" w:cs="Arial"/>
        </w:rPr>
      </w:pPr>
    </w:p>
    <w:p w14:paraId="1352EC9E" w14:textId="4F689DA8" w:rsidR="6DB5B5F7" w:rsidRPr="009D7A02" w:rsidRDefault="43B86E33"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t>TVCA Cabinet has also approved a £75m facility for the other two development corporations but the draft budget currently assumes that this facility will not be utilised in 2026/27.</w:t>
      </w:r>
    </w:p>
    <w:p w14:paraId="1F51F6BE" w14:textId="022F68D3" w:rsidR="163C78E3" w:rsidRPr="009D7A02" w:rsidRDefault="163C78E3" w:rsidP="00BE2502">
      <w:pPr>
        <w:pStyle w:val="ListParagraph"/>
        <w:spacing w:line="276" w:lineRule="auto"/>
        <w:ind w:left="567" w:right="140" w:hanging="567"/>
        <w:rPr>
          <w:rFonts w:ascii="Inter" w:hAnsi="Inter" w:cs="Arial"/>
        </w:rPr>
      </w:pPr>
    </w:p>
    <w:p w14:paraId="5B29F440" w14:textId="6A91C8C1" w:rsidR="0FDD928D" w:rsidRPr="009D7A02" w:rsidRDefault="0FDD928D" w:rsidP="2DFE4DF5">
      <w:pPr>
        <w:pStyle w:val="ListParagraph"/>
        <w:numPr>
          <w:ilvl w:val="0"/>
          <w:numId w:val="3"/>
        </w:numPr>
        <w:spacing w:line="276" w:lineRule="auto"/>
        <w:ind w:left="567" w:right="140" w:hanging="567"/>
        <w:rPr>
          <w:rFonts w:ascii="Inter" w:hAnsi="Inter" w:cs="Arial"/>
        </w:rPr>
      </w:pPr>
      <w:r w:rsidRPr="2DFE4DF5">
        <w:rPr>
          <w:rFonts w:ascii="Inter" w:hAnsi="Inter" w:cs="Arial"/>
        </w:rPr>
        <w:lastRenderedPageBreak/>
        <w:t xml:space="preserve">The draft budget currently assumes no further loans to be advanced to Goosepool or TIAL.  A </w:t>
      </w:r>
      <w:r w:rsidR="1CF4FEB9" w:rsidRPr="2DFE4DF5">
        <w:rPr>
          <w:rFonts w:ascii="Inter" w:hAnsi="Inter" w:cs="Arial"/>
        </w:rPr>
        <w:t xml:space="preserve">doubtful debt </w:t>
      </w:r>
      <w:r w:rsidRPr="2DFE4DF5">
        <w:rPr>
          <w:rFonts w:ascii="Inter" w:hAnsi="Inter" w:cs="Arial"/>
        </w:rPr>
        <w:t xml:space="preserve">provision for the full amount of interest receivable in the 2026/27 budget and MTFS has been made </w:t>
      </w:r>
      <w:r w:rsidR="14E9FF31" w:rsidRPr="2DFE4DF5">
        <w:rPr>
          <w:rFonts w:ascii="Inter" w:hAnsi="Inter" w:cs="Arial"/>
        </w:rPr>
        <w:t xml:space="preserve">adopting a </w:t>
      </w:r>
      <w:r w:rsidR="0A095E6F" w:rsidRPr="2DFE4DF5">
        <w:rPr>
          <w:rFonts w:ascii="Inter" w:hAnsi="Inter" w:cs="Arial"/>
        </w:rPr>
        <w:t>prudent approach to budgeting.</w:t>
      </w:r>
      <w:r w:rsidR="14E9FF31" w:rsidRPr="2DFE4DF5">
        <w:rPr>
          <w:rFonts w:ascii="Inter" w:hAnsi="Inter" w:cs="Arial"/>
        </w:rPr>
        <w:t xml:space="preserve"> </w:t>
      </w:r>
    </w:p>
    <w:p w14:paraId="73D430B4" w14:textId="1C3578B5" w:rsidR="0BF955CF" w:rsidRPr="009D7A02" w:rsidRDefault="0BF955CF" w:rsidP="00BE2502">
      <w:pPr>
        <w:pStyle w:val="ListParagraph"/>
        <w:spacing w:line="276" w:lineRule="auto"/>
        <w:ind w:left="567" w:right="140" w:hanging="567"/>
        <w:rPr>
          <w:rFonts w:ascii="Inter" w:hAnsi="Inter" w:cs="Arial"/>
        </w:rPr>
      </w:pPr>
    </w:p>
    <w:p w14:paraId="2A5AB13E" w14:textId="792B7409" w:rsidR="000F4465" w:rsidRPr="009D7A02" w:rsidRDefault="000F4465" w:rsidP="2DFE4DF5">
      <w:pPr>
        <w:pStyle w:val="ListParagraph"/>
        <w:numPr>
          <w:ilvl w:val="0"/>
          <w:numId w:val="3"/>
        </w:numPr>
        <w:spacing w:line="276" w:lineRule="auto"/>
        <w:ind w:left="567" w:hanging="567"/>
        <w:rPr>
          <w:rFonts w:ascii="Inter" w:hAnsi="Inter" w:cs="Arial"/>
        </w:rPr>
      </w:pPr>
      <w:r w:rsidRPr="2DFE4DF5">
        <w:rPr>
          <w:rFonts w:ascii="Inter" w:hAnsi="Inter" w:cs="Arial"/>
        </w:rPr>
        <w:t>TVCA has also budgeted £1.5m of income from short</w:t>
      </w:r>
      <w:r w:rsidR="3952C19F" w:rsidRPr="2DFE4DF5">
        <w:rPr>
          <w:rFonts w:ascii="Inter" w:hAnsi="Inter" w:cs="Arial"/>
        </w:rPr>
        <w:t>-</w:t>
      </w:r>
      <w:r w:rsidRPr="2DFE4DF5">
        <w:rPr>
          <w:rFonts w:ascii="Inter" w:hAnsi="Inter" w:cs="Arial"/>
        </w:rPr>
        <w:t xml:space="preserve">term investments of temporary surplus balances placed on the money markets. </w:t>
      </w:r>
      <w:r w:rsidR="00EE776A" w:rsidRPr="2DFE4DF5">
        <w:rPr>
          <w:rFonts w:ascii="Inter" w:hAnsi="Inter" w:cs="Arial"/>
        </w:rPr>
        <w:t>The c</w:t>
      </w:r>
      <w:r w:rsidR="00E56605" w:rsidRPr="2DFE4DF5">
        <w:rPr>
          <w:rFonts w:ascii="Inter" w:hAnsi="Inter" w:cs="Arial"/>
        </w:rPr>
        <w:t xml:space="preserve">urrent Treasury Management </w:t>
      </w:r>
      <w:r w:rsidR="00D54157" w:rsidRPr="2DFE4DF5">
        <w:rPr>
          <w:rFonts w:ascii="Inter" w:hAnsi="Inter" w:cs="Arial"/>
        </w:rPr>
        <w:t>approach</w:t>
      </w:r>
      <w:r w:rsidR="00E56605" w:rsidRPr="2DFE4DF5">
        <w:rPr>
          <w:rFonts w:ascii="Inter" w:hAnsi="Inter" w:cs="Arial"/>
        </w:rPr>
        <w:t xml:space="preserve"> </w:t>
      </w:r>
      <w:r w:rsidR="009D7D29" w:rsidRPr="2DFE4DF5">
        <w:rPr>
          <w:rFonts w:ascii="Inter" w:hAnsi="Inter" w:cs="Arial"/>
        </w:rPr>
        <w:t>aim</w:t>
      </w:r>
      <w:r w:rsidR="00EE776A" w:rsidRPr="2DFE4DF5">
        <w:rPr>
          <w:rFonts w:ascii="Inter" w:hAnsi="Inter" w:cs="Arial"/>
        </w:rPr>
        <w:t>s</w:t>
      </w:r>
      <w:r w:rsidR="009D7D29" w:rsidRPr="2DFE4DF5">
        <w:rPr>
          <w:rFonts w:ascii="Inter" w:hAnsi="Inter" w:cs="Arial"/>
        </w:rPr>
        <w:t xml:space="preserve"> for</w:t>
      </w:r>
      <w:r w:rsidRPr="2DFE4DF5">
        <w:rPr>
          <w:rFonts w:ascii="Inter" w:hAnsi="Inter" w:cs="Arial"/>
        </w:rPr>
        <w:t xml:space="preserve"> a minimum of £30m to be held as accessible, ready funds to ensure organisational liquidity. At times, depending on the timing of grant receipts, the </w:t>
      </w:r>
      <w:r w:rsidR="03E30122" w:rsidRPr="2DFE4DF5">
        <w:rPr>
          <w:rFonts w:ascii="Inter" w:hAnsi="Inter" w:cs="Arial"/>
        </w:rPr>
        <w:t xml:space="preserve">cash </w:t>
      </w:r>
      <w:r w:rsidRPr="2DFE4DF5">
        <w:rPr>
          <w:rFonts w:ascii="Inter" w:hAnsi="Inter" w:cs="Arial"/>
        </w:rPr>
        <w:t>balance held may be significantly higher than this minimum level</w:t>
      </w:r>
      <w:r w:rsidR="20572C97" w:rsidRPr="2DFE4DF5">
        <w:rPr>
          <w:rFonts w:ascii="Inter" w:hAnsi="Inter" w:cs="Arial"/>
        </w:rPr>
        <w:t xml:space="preserve"> and the timing of grant receipts can have a significant impact on the cash balances held by TVCA, which in turn generate interest through short-term investment in the money markets.</w:t>
      </w:r>
    </w:p>
    <w:p w14:paraId="358AAAC2" w14:textId="69162E42" w:rsidR="000F4465" w:rsidRPr="009D7A02" w:rsidRDefault="000F4465" w:rsidP="00BE2502">
      <w:pPr>
        <w:pStyle w:val="ListParagraph"/>
        <w:spacing w:line="276" w:lineRule="auto"/>
        <w:ind w:left="567" w:right="140" w:hanging="567"/>
        <w:rPr>
          <w:rFonts w:ascii="Inter" w:hAnsi="Inter" w:cs="Arial"/>
        </w:rPr>
      </w:pPr>
    </w:p>
    <w:p w14:paraId="0D7B1C37" w14:textId="33038B40" w:rsidR="000F4465" w:rsidRPr="009D7A02" w:rsidRDefault="000F4465" w:rsidP="2DFE4DF5">
      <w:pPr>
        <w:pStyle w:val="ListParagraph"/>
        <w:numPr>
          <w:ilvl w:val="0"/>
          <w:numId w:val="3"/>
        </w:numPr>
        <w:spacing w:line="276" w:lineRule="auto"/>
        <w:ind w:left="567" w:hanging="567"/>
        <w:rPr>
          <w:rFonts w:ascii="Inter" w:hAnsi="Inter" w:cs="Arial"/>
        </w:rPr>
      </w:pPr>
      <w:r w:rsidRPr="2DFE4DF5">
        <w:rPr>
          <w:rFonts w:ascii="Inter" w:hAnsi="Inter" w:cs="Arial"/>
        </w:rPr>
        <w:t>The income target for short</w:t>
      </w:r>
      <w:r w:rsidR="2F176B60" w:rsidRPr="2DFE4DF5">
        <w:rPr>
          <w:rFonts w:ascii="Inter" w:hAnsi="Inter" w:cs="Arial"/>
        </w:rPr>
        <w:t>-</w:t>
      </w:r>
      <w:r w:rsidRPr="2DFE4DF5">
        <w:rPr>
          <w:rFonts w:ascii="Inter" w:hAnsi="Inter" w:cs="Arial"/>
        </w:rPr>
        <w:t xml:space="preserve">term investments is based on an average interest rate of 5% and an average </w:t>
      </w:r>
      <w:r w:rsidR="7816549C" w:rsidRPr="2DFE4DF5">
        <w:rPr>
          <w:rFonts w:ascii="Inter" w:hAnsi="Inter" w:cs="Arial"/>
        </w:rPr>
        <w:t xml:space="preserve">available </w:t>
      </w:r>
      <w:r w:rsidRPr="2DFE4DF5">
        <w:rPr>
          <w:rFonts w:ascii="Inter" w:hAnsi="Inter" w:cs="Arial"/>
        </w:rPr>
        <w:t>investment balance of £30m.</w:t>
      </w:r>
      <w:r w:rsidR="4B80EB44" w:rsidRPr="2DFE4DF5">
        <w:rPr>
          <w:rFonts w:ascii="Inter" w:hAnsi="Inter" w:cs="Arial"/>
        </w:rPr>
        <w:t xml:space="preserve">  </w:t>
      </w:r>
    </w:p>
    <w:p w14:paraId="23C59D02" w14:textId="58EAC3EF" w:rsidR="000F4465" w:rsidRPr="009D7A02" w:rsidRDefault="000F4465" w:rsidP="00BE2502">
      <w:pPr>
        <w:pStyle w:val="ListParagraph"/>
        <w:spacing w:line="276" w:lineRule="auto"/>
        <w:ind w:left="567" w:right="140" w:hanging="567"/>
        <w:rPr>
          <w:rFonts w:ascii="Inter" w:hAnsi="Inter" w:cs="Arial"/>
        </w:rPr>
      </w:pPr>
    </w:p>
    <w:p w14:paraId="767060B9" w14:textId="5BD12C62" w:rsidR="16FD5590" w:rsidRPr="009D7A02" w:rsidRDefault="16FD5590" w:rsidP="00BE2502">
      <w:pPr>
        <w:pStyle w:val="ListParagraph"/>
        <w:spacing w:line="276" w:lineRule="auto"/>
        <w:ind w:left="567" w:right="140" w:hanging="567"/>
        <w:rPr>
          <w:rFonts w:ascii="Inter" w:hAnsi="Inter" w:cs="Arial"/>
        </w:rPr>
      </w:pPr>
    </w:p>
    <w:p w14:paraId="44378036" w14:textId="67943D16" w:rsidR="00D06EAE" w:rsidRPr="009D7A02" w:rsidRDefault="00D06EAE" w:rsidP="16FD5590">
      <w:pPr>
        <w:pStyle w:val="ListParagraph"/>
        <w:spacing w:line="276" w:lineRule="auto"/>
        <w:ind w:left="567" w:hanging="567"/>
        <w:rPr>
          <w:rFonts w:ascii="Inter" w:hAnsi="Inter" w:cs="Arial"/>
          <w:b/>
          <w:bCs/>
        </w:rPr>
      </w:pPr>
      <w:r w:rsidRPr="009D7A02">
        <w:rPr>
          <w:rFonts w:ascii="Inter" w:hAnsi="Inter" w:cs="Arial"/>
          <w:b/>
          <w:bCs/>
        </w:rPr>
        <w:t>CURRENT CAPITAL PROGRAMME 2026/27-202</w:t>
      </w:r>
      <w:r w:rsidR="005F662D" w:rsidRPr="009D7A02">
        <w:rPr>
          <w:rFonts w:ascii="Inter" w:hAnsi="Inter" w:cs="Arial"/>
          <w:b/>
          <w:bCs/>
        </w:rPr>
        <w:t>8</w:t>
      </w:r>
      <w:r w:rsidRPr="009D7A02">
        <w:rPr>
          <w:rFonts w:ascii="Inter" w:hAnsi="Inter" w:cs="Arial"/>
          <w:b/>
          <w:bCs/>
        </w:rPr>
        <w:t>/2</w:t>
      </w:r>
      <w:r w:rsidR="005F662D" w:rsidRPr="009D7A02">
        <w:rPr>
          <w:rFonts w:ascii="Inter" w:hAnsi="Inter" w:cs="Arial"/>
          <w:b/>
          <w:bCs/>
        </w:rPr>
        <w:t>9</w:t>
      </w:r>
    </w:p>
    <w:p w14:paraId="3F96A282" w14:textId="77777777" w:rsidR="00A015E8" w:rsidRPr="009D7A02" w:rsidRDefault="00A015E8" w:rsidP="00597EF7">
      <w:pPr>
        <w:pStyle w:val="ListParagraph"/>
        <w:spacing w:line="276" w:lineRule="auto"/>
        <w:ind w:left="0"/>
        <w:rPr>
          <w:rFonts w:ascii="Inter" w:hAnsi="Inter" w:cs="Arial"/>
          <w:b/>
          <w:bCs/>
          <w:szCs w:val="22"/>
        </w:rPr>
      </w:pPr>
    </w:p>
    <w:p w14:paraId="37812B58" w14:textId="69662567" w:rsidR="00256C91" w:rsidRPr="009D7A02" w:rsidRDefault="00256C91" w:rsidP="2DFE4DF5">
      <w:pPr>
        <w:pStyle w:val="ListParagraph"/>
        <w:numPr>
          <w:ilvl w:val="0"/>
          <w:numId w:val="3"/>
        </w:numPr>
        <w:spacing w:line="276" w:lineRule="auto"/>
        <w:ind w:left="567" w:hanging="567"/>
        <w:rPr>
          <w:rFonts w:ascii="Inter" w:hAnsi="Inter" w:cs="Arial"/>
        </w:rPr>
      </w:pPr>
      <w:r w:rsidRPr="2DFE4DF5">
        <w:rPr>
          <w:rFonts w:ascii="Inter" w:hAnsi="Inter" w:cs="Arial"/>
        </w:rPr>
        <w:t xml:space="preserve">TVCA has a significant Capital Programme funded almost entirely by grants, most notably within </w:t>
      </w:r>
      <w:r w:rsidR="0A2E533E" w:rsidRPr="2DFE4DF5">
        <w:rPr>
          <w:rFonts w:ascii="Inter" w:hAnsi="Inter" w:cs="Arial"/>
        </w:rPr>
        <w:t>t</w:t>
      </w:r>
      <w:r w:rsidRPr="2DFE4DF5">
        <w:rPr>
          <w:rFonts w:ascii="Inter" w:hAnsi="Inter" w:cs="Arial"/>
        </w:rPr>
        <w:t xml:space="preserve">ransport e, which successfully secured a £978m grant in the summer of 2025. </w:t>
      </w:r>
      <w:r w:rsidR="004238B6" w:rsidRPr="2DFE4DF5">
        <w:rPr>
          <w:rFonts w:ascii="Inter" w:hAnsi="Inter" w:cs="Arial"/>
        </w:rPr>
        <w:t>It is of note that</w:t>
      </w:r>
      <w:r w:rsidR="29B57696" w:rsidRPr="2DFE4DF5">
        <w:rPr>
          <w:rFonts w:ascii="Inter" w:hAnsi="Inter" w:cs="Arial"/>
        </w:rPr>
        <w:t xml:space="preserve"> </w:t>
      </w:r>
      <w:r w:rsidR="59895D21" w:rsidRPr="2DFE4DF5">
        <w:rPr>
          <w:rFonts w:ascii="Inter" w:hAnsi="Inter" w:cs="Arial"/>
        </w:rPr>
        <w:t>following confirmation and further grant</w:t>
      </w:r>
      <w:r w:rsidR="2E3DEA28" w:rsidRPr="2DFE4DF5">
        <w:rPr>
          <w:rFonts w:ascii="Inter" w:hAnsi="Inter" w:cs="Arial"/>
        </w:rPr>
        <w:t xml:space="preserve"> </w:t>
      </w:r>
      <w:r w:rsidR="6094B12A" w:rsidRPr="2DFE4DF5">
        <w:rPr>
          <w:rFonts w:ascii="Inter" w:hAnsi="Inter" w:cs="Arial"/>
        </w:rPr>
        <w:t>details</w:t>
      </w:r>
      <w:r w:rsidR="59895D21" w:rsidRPr="2DFE4DF5">
        <w:rPr>
          <w:rFonts w:ascii="Inter" w:hAnsi="Inter" w:cs="Arial"/>
        </w:rPr>
        <w:t xml:space="preserve"> it </w:t>
      </w:r>
      <w:r w:rsidR="15D0A58D" w:rsidRPr="2DFE4DF5">
        <w:rPr>
          <w:rFonts w:ascii="Inter" w:hAnsi="Inter" w:cs="Arial"/>
        </w:rPr>
        <w:t>has</w:t>
      </w:r>
      <w:r w:rsidR="59895D21" w:rsidRPr="2DFE4DF5">
        <w:rPr>
          <w:rFonts w:ascii="Inter" w:hAnsi="Inter" w:cs="Arial"/>
        </w:rPr>
        <w:t xml:space="preserve"> now </w:t>
      </w:r>
      <w:r w:rsidR="15D0A58D" w:rsidRPr="2DFE4DF5">
        <w:rPr>
          <w:rFonts w:ascii="Inter" w:hAnsi="Inter" w:cs="Arial"/>
        </w:rPr>
        <w:t>been confirmed</w:t>
      </w:r>
      <w:r w:rsidR="59895D21" w:rsidRPr="2DFE4DF5">
        <w:rPr>
          <w:rFonts w:ascii="Inter" w:hAnsi="Inter" w:cs="Arial"/>
        </w:rPr>
        <w:t xml:space="preserve"> that £62m of this </w:t>
      </w:r>
      <w:r w:rsidR="70E6E5B9" w:rsidRPr="2DFE4DF5">
        <w:rPr>
          <w:rFonts w:ascii="Inter" w:hAnsi="Inter" w:cs="Arial"/>
        </w:rPr>
        <w:t>g</w:t>
      </w:r>
      <w:r w:rsidR="59895D21" w:rsidRPr="2DFE4DF5">
        <w:rPr>
          <w:rFonts w:ascii="Inter" w:hAnsi="Inter" w:cs="Arial"/>
        </w:rPr>
        <w:t xml:space="preserve">rant </w:t>
      </w:r>
      <w:r w:rsidR="01C9870C" w:rsidRPr="2DFE4DF5">
        <w:rPr>
          <w:rFonts w:ascii="Inter" w:hAnsi="Inter" w:cs="Arial"/>
        </w:rPr>
        <w:t>r</w:t>
      </w:r>
      <w:r w:rsidR="59895D21" w:rsidRPr="2DFE4DF5">
        <w:rPr>
          <w:rFonts w:ascii="Inter" w:hAnsi="Inter" w:cs="Arial"/>
        </w:rPr>
        <w:t xml:space="preserve">elates to </w:t>
      </w:r>
      <w:r w:rsidR="3689AED1" w:rsidRPr="2DFE4DF5">
        <w:rPr>
          <w:rFonts w:ascii="Inter" w:hAnsi="Inter" w:cs="Arial"/>
        </w:rPr>
        <w:t>r</w:t>
      </w:r>
      <w:r w:rsidR="230638D4" w:rsidRPr="2DFE4DF5">
        <w:rPr>
          <w:rFonts w:ascii="Inter" w:hAnsi="Inter" w:cs="Arial"/>
        </w:rPr>
        <w:t>evenue</w:t>
      </w:r>
      <w:r w:rsidR="00460872" w:rsidRPr="2DFE4DF5">
        <w:rPr>
          <w:rFonts w:ascii="Inter" w:hAnsi="Inter" w:cs="Arial"/>
        </w:rPr>
        <w:t xml:space="preserve"> with £916m for capital expenditure</w:t>
      </w:r>
      <w:r w:rsidR="59895D21" w:rsidRPr="2DFE4DF5">
        <w:rPr>
          <w:rFonts w:ascii="Inter" w:hAnsi="Inter" w:cs="Arial"/>
        </w:rPr>
        <w:t xml:space="preserve">. Cabinet will be </w:t>
      </w:r>
      <w:r w:rsidR="5DCD11DF" w:rsidRPr="2DFE4DF5">
        <w:rPr>
          <w:rFonts w:ascii="Inter" w:hAnsi="Inter" w:cs="Arial"/>
        </w:rPr>
        <w:t>updated</w:t>
      </w:r>
      <w:r w:rsidR="59895D21" w:rsidRPr="2DFE4DF5">
        <w:rPr>
          <w:rFonts w:ascii="Inter" w:hAnsi="Inter" w:cs="Arial"/>
        </w:rPr>
        <w:t xml:space="preserve"> of this correction at Q3 and the tables t</w:t>
      </w:r>
      <w:r w:rsidR="745FC7AC" w:rsidRPr="2DFE4DF5">
        <w:rPr>
          <w:rFonts w:ascii="Inter" w:hAnsi="Inter" w:cs="Arial"/>
        </w:rPr>
        <w:t>ha</w:t>
      </w:r>
      <w:r w:rsidR="59895D21" w:rsidRPr="2DFE4DF5">
        <w:rPr>
          <w:rFonts w:ascii="Inter" w:hAnsi="Inter" w:cs="Arial"/>
        </w:rPr>
        <w:t>t follow account for this correction.</w:t>
      </w:r>
    </w:p>
    <w:p w14:paraId="079A92D0" w14:textId="77777777" w:rsidR="00CB6DD9" w:rsidRPr="009D7A02" w:rsidRDefault="00CB6DD9" w:rsidP="00BE2502">
      <w:pPr>
        <w:pStyle w:val="ListParagraph"/>
        <w:spacing w:line="276" w:lineRule="auto"/>
        <w:ind w:left="567" w:hanging="567"/>
        <w:rPr>
          <w:rFonts w:ascii="Inter" w:hAnsi="Inter" w:cs="Arial"/>
          <w:szCs w:val="22"/>
        </w:rPr>
      </w:pPr>
    </w:p>
    <w:p w14:paraId="40283008" w14:textId="62390BFF" w:rsidR="00256C91" w:rsidRPr="009D7A02" w:rsidRDefault="4ADB5A14" w:rsidP="2DFE4DF5">
      <w:pPr>
        <w:pStyle w:val="ListParagraph"/>
        <w:numPr>
          <w:ilvl w:val="0"/>
          <w:numId w:val="3"/>
        </w:numPr>
        <w:spacing w:line="276" w:lineRule="auto"/>
        <w:ind w:left="567" w:hanging="567"/>
        <w:rPr>
          <w:rFonts w:ascii="Inter" w:hAnsi="Inter" w:cs="Arial"/>
        </w:rPr>
      </w:pPr>
      <w:r w:rsidRPr="2DFE4DF5">
        <w:rPr>
          <w:rFonts w:ascii="Inter" w:hAnsi="Inter" w:cs="Arial"/>
        </w:rPr>
        <w:t xml:space="preserve">The </w:t>
      </w:r>
      <w:r w:rsidR="00F01D34" w:rsidRPr="2DFE4DF5">
        <w:rPr>
          <w:rFonts w:ascii="Inter" w:hAnsi="Inter" w:cs="Arial"/>
        </w:rPr>
        <w:t xml:space="preserve">Inward Investment and Marketing </w:t>
      </w:r>
      <w:r w:rsidR="00256C91" w:rsidRPr="2DFE4DF5">
        <w:rPr>
          <w:rFonts w:ascii="Inter" w:hAnsi="Inter" w:cs="Arial"/>
        </w:rPr>
        <w:t>element of the Capital Programme, although not grant</w:t>
      </w:r>
      <w:r w:rsidR="28BE228F" w:rsidRPr="2DFE4DF5">
        <w:rPr>
          <w:rFonts w:ascii="Inter" w:hAnsi="Inter" w:cs="Arial"/>
        </w:rPr>
        <w:t xml:space="preserve"> f</w:t>
      </w:r>
      <w:r w:rsidR="00256C91" w:rsidRPr="2DFE4DF5">
        <w:rPr>
          <w:rFonts w:ascii="Inter" w:hAnsi="Inter" w:cs="Arial"/>
        </w:rPr>
        <w:t>unded, is lent to STDC on a commercial basis. It is anticipated that the interest charged on these loans will, at a minimum, cover the interest costs TVCA would have incurred had the equivalent amount needed to be borrowed externally.</w:t>
      </w:r>
    </w:p>
    <w:p w14:paraId="03A0DCB5" w14:textId="77777777" w:rsidR="00C403BB" w:rsidRPr="009D7A02" w:rsidRDefault="00C403BB" w:rsidP="00BE2502">
      <w:pPr>
        <w:pStyle w:val="ListParagraph"/>
        <w:spacing w:line="276" w:lineRule="auto"/>
        <w:ind w:left="567" w:hanging="567"/>
        <w:rPr>
          <w:rFonts w:ascii="Inter" w:hAnsi="Inter" w:cs="Arial"/>
          <w:szCs w:val="22"/>
        </w:rPr>
      </w:pPr>
    </w:p>
    <w:p w14:paraId="60C7812A" w14:textId="42F75B27" w:rsidR="00256C91" w:rsidRDefault="00256C91" w:rsidP="2DFE4DF5">
      <w:pPr>
        <w:pStyle w:val="ListParagraph"/>
        <w:numPr>
          <w:ilvl w:val="0"/>
          <w:numId w:val="3"/>
        </w:numPr>
        <w:spacing w:line="276" w:lineRule="auto"/>
        <w:ind w:left="567" w:hanging="567"/>
        <w:rPr>
          <w:rFonts w:ascii="Inter" w:hAnsi="Inter" w:cs="Arial"/>
        </w:rPr>
      </w:pPr>
      <w:r w:rsidRPr="2DFE4DF5">
        <w:rPr>
          <w:rFonts w:ascii="Inter" w:hAnsi="Inter" w:cs="Arial"/>
        </w:rPr>
        <w:t>While capital activity is treated separately from revenue activity, the Capital Programme does have revenue implications, most notably within Treasury Management. As noted above, non</w:t>
      </w:r>
      <w:r w:rsidR="18CB20CF" w:rsidRPr="2DFE4DF5">
        <w:rPr>
          <w:rFonts w:ascii="Inter" w:hAnsi="Inter" w:cs="Arial"/>
        </w:rPr>
        <w:t>-</w:t>
      </w:r>
      <w:r w:rsidRPr="2DFE4DF5">
        <w:rPr>
          <w:rFonts w:ascii="Inter" w:hAnsi="Inter" w:cs="Arial"/>
        </w:rPr>
        <w:t>grant</w:t>
      </w:r>
      <w:r w:rsidR="53AF8DE3" w:rsidRPr="2DFE4DF5">
        <w:rPr>
          <w:rFonts w:ascii="Inter" w:hAnsi="Inter" w:cs="Arial"/>
        </w:rPr>
        <w:t xml:space="preserve"> </w:t>
      </w:r>
      <w:r w:rsidRPr="2DFE4DF5">
        <w:rPr>
          <w:rFonts w:ascii="Inter" w:hAnsi="Inter" w:cs="Arial"/>
        </w:rPr>
        <w:t>funded elements of the Capital Programme may incur interest charges if external borrowing is required.</w:t>
      </w:r>
    </w:p>
    <w:p w14:paraId="0086AA00" w14:textId="77777777" w:rsidR="00664225" w:rsidRPr="00664225" w:rsidRDefault="00664225" w:rsidP="00664225">
      <w:pPr>
        <w:pStyle w:val="ListParagraph"/>
        <w:rPr>
          <w:rFonts w:ascii="Inter" w:hAnsi="Inter" w:cs="Arial"/>
        </w:rPr>
      </w:pPr>
    </w:p>
    <w:p w14:paraId="40FB3756" w14:textId="367018E5" w:rsidR="00664225" w:rsidRPr="009D7A02" w:rsidRDefault="00FC5249" w:rsidP="2DFE4DF5">
      <w:pPr>
        <w:pStyle w:val="ListParagraph"/>
        <w:numPr>
          <w:ilvl w:val="0"/>
          <w:numId w:val="3"/>
        </w:numPr>
        <w:spacing w:line="276" w:lineRule="auto"/>
        <w:ind w:left="567" w:hanging="567"/>
        <w:rPr>
          <w:rFonts w:ascii="Inter" w:hAnsi="Inter" w:cs="Arial"/>
        </w:rPr>
      </w:pPr>
      <w:r w:rsidRPr="2DFE4DF5">
        <w:rPr>
          <w:rFonts w:ascii="Inter" w:hAnsi="Inter" w:cs="Arial"/>
        </w:rPr>
        <w:t xml:space="preserve">The value and timing of capital grant receipts also have a significant impact on the interest receivable budgets within the revenue account. Careful cashflow monitoring </w:t>
      </w:r>
      <w:r w:rsidRPr="2DFE4DF5">
        <w:rPr>
          <w:rFonts w:ascii="Inter" w:hAnsi="Inter" w:cs="Arial"/>
        </w:rPr>
        <w:lastRenderedPageBreak/>
        <w:t>must be maintained to ensure that no capital borrowing is undertaken before it is necessary or strategically advantageous for TVCA.</w:t>
      </w:r>
    </w:p>
    <w:p w14:paraId="5AC99154" w14:textId="5A2C8FDC" w:rsidR="0777E02C" w:rsidRPr="009D7A02" w:rsidRDefault="0777E02C" w:rsidP="00BE2502">
      <w:pPr>
        <w:pStyle w:val="ListParagraph"/>
        <w:spacing w:line="276" w:lineRule="auto"/>
        <w:ind w:left="567" w:hanging="567"/>
        <w:rPr>
          <w:rFonts w:ascii="Inter" w:hAnsi="Inter" w:cs="Arial"/>
        </w:rPr>
      </w:pPr>
    </w:p>
    <w:p w14:paraId="7EA4A2DD" w14:textId="2971E31E" w:rsidR="033066B5" w:rsidRPr="009D7A02" w:rsidRDefault="033066B5" w:rsidP="2DFE4DF5">
      <w:pPr>
        <w:pStyle w:val="ListParagraph"/>
        <w:numPr>
          <w:ilvl w:val="0"/>
          <w:numId w:val="3"/>
        </w:numPr>
        <w:spacing w:line="276" w:lineRule="auto"/>
        <w:ind w:left="567" w:hanging="567"/>
        <w:rPr>
          <w:rFonts w:ascii="Inter" w:hAnsi="Inter" w:cs="Arial"/>
        </w:rPr>
      </w:pPr>
      <w:r w:rsidRPr="2DFE4DF5">
        <w:rPr>
          <w:rFonts w:ascii="Inter" w:hAnsi="Inter" w:cs="Arial"/>
        </w:rPr>
        <w:t xml:space="preserve">As highlighted elsewhere in this report, the Combined Authority is required to develop a Capital Strategy which sets out the Authority’s strategic priorities for capital investment.  This strategy is currently being developed </w:t>
      </w:r>
      <w:r w:rsidR="3C678143" w:rsidRPr="2DFE4DF5">
        <w:rPr>
          <w:rFonts w:ascii="Inter" w:hAnsi="Inter" w:cs="Arial"/>
        </w:rPr>
        <w:t xml:space="preserve">together with the Investment Plan and </w:t>
      </w:r>
      <w:r w:rsidR="72EAEC8E" w:rsidRPr="2DFE4DF5">
        <w:rPr>
          <w:rFonts w:ascii="Inter" w:hAnsi="Inter" w:cs="Arial"/>
        </w:rPr>
        <w:t>will be presented as part of the final budget.</w:t>
      </w:r>
    </w:p>
    <w:p w14:paraId="09B26961" w14:textId="3B4F4C37" w:rsidR="07F0BEBA" w:rsidRPr="009D7A02" w:rsidRDefault="07F0BEBA" w:rsidP="00BE2502">
      <w:pPr>
        <w:pStyle w:val="ListParagraph"/>
        <w:spacing w:line="276" w:lineRule="auto"/>
        <w:ind w:left="567" w:hanging="567"/>
        <w:rPr>
          <w:rFonts w:ascii="Inter" w:hAnsi="Inter" w:cs="Arial"/>
        </w:rPr>
      </w:pPr>
    </w:p>
    <w:p w14:paraId="1B3F5555" w14:textId="53D04ED4" w:rsidR="00387CA6" w:rsidRPr="00A0564A" w:rsidRDefault="72EAEC8E" w:rsidP="2DFE4DF5">
      <w:pPr>
        <w:pStyle w:val="ListParagraph"/>
        <w:numPr>
          <w:ilvl w:val="0"/>
          <w:numId w:val="3"/>
        </w:numPr>
        <w:spacing w:line="276" w:lineRule="auto"/>
        <w:ind w:left="567" w:hanging="567"/>
        <w:rPr>
          <w:rFonts w:ascii="Inter" w:hAnsi="Inter" w:cs="Arial"/>
          <w:b/>
          <w:bCs/>
        </w:rPr>
      </w:pPr>
      <w:r w:rsidRPr="2DFE4DF5">
        <w:rPr>
          <w:rFonts w:ascii="Inter" w:hAnsi="Inter" w:cs="Arial"/>
        </w:rPr>
        <w:t>T</w:t>
      </w:r>
      <w:r w:rsidR="3C678143" w:rsidRPr="2DFE4DF5">
        <w:rPr>
          <w:rFonts w:ascii="Inter" w:hAnsi="Inter" w:cs="Arial"/>
        </w:rPr>
        <w:t>he Combined Authority draft budget proposals are</w:t>
      </w:r>
      <w:r w:rsidR="7E681C6C" w:rsidRPr="2DFE4DF5">
        <w:rPr>
          <w:rFonts w:ascii="Inter" w:hAnsi="Inter" w:cs="Arial"/>
        </w:rPr>
        <w:t>, therefore,</w:t>
      </w:r>
      <w:r w:rsidR="3C678143" w:rsidRPr="2DFE4DF5">
        <w:rPr>
          <w:rFonts w:ascii="Inter" w:hAnsi="Inter" w:cs="Arial"/>
        </w:rPr>
        <w:t xml:space="preserve"> currently based on the latest Capital Programme at </w:t>
      </w:r>
      <w:r w:rsidR="7F04D789" w:rsidRPr="2DFE4DF5">
        <w:rPr>
          <w:rFonts w:ascii="Inter" w:hAnsi="Inter" w:cs="Arial"/>
        </w:rPr>
        <w:t>Quarter 2 together with any known additional capital grant funding allocated in the Provisional Local Government Settlement announced on 19 December 2025.</w:t>
      </w:r>
    </w:p>
    <w:p w14:paraId="0D7D9C7A" w14:textId="3A6711D9" w:rsidR="7946DCAD" w:rsidRDefault="7946DCAD" w:rsidP="7AAC0B8A">
      <w:pPr>
        <w:pStyle w:val="ListParagraph"/>
        <w:spacing w:line="276" w:lineRule="auto"/>
        <w:ind w:left="567" w:hanging="567"/>
        <w:rPr>
          <w:rFonts w:ascii="Inter" w:hAnsi="Inter" w:cs="Arial"/>
          <w:b/>
          <w:bCs/>
        </w:rPr>
      </w:pPr>
    </w:p>
    <w:p w14:paraId="0092B6DB" w14:textId="71F63A53" w:rsidR="00705AB9" w:rsidRPr="009D7A02" w:rsidRDefault="24295C12" w:rsidP="16FD5590">
      <w:pPr>
        <w:pStyle w:val="ListParagraph"/>
        <w:spacing w:line="276" w:lineRule="auto"/>
        <w:ind w:left="0"/>
        <w:jc w:val="center"/>
        <w:rPr>
          <w:rFonts w:ascii="Inter" w:hAnsi="Inter" w:cs="Arial"/>
          <w:b/>
          <w:bCs/>
        </w:rPr>
      </w:pPr>
      <w:r w:rsidRPr="41590B60">
        <w:rPr>
          <w:rFonts w:ascii="Inter" w:hAnsi="Inter" w:cs="Arial"/>
          <w:b/>
          <w:bCs/>
        </w:rPr>
        <w:t xml:space="preserve">Table </w:t>
      </w:r>
      <w:r w:rsidR="00162C4B">
        <w:rPr>
          <w:rFonts w:ascii="Inter" w:hAnsi="Inter" w:cs="Arial"/>
          <w:b/>
          <w:bCs/>
        </w:rPr>
        <w:t>1</w:t>
      </w:r>
      <w:r w:rsidR="009C75B5">
        <w:rPr>
          <w:rFonts w:ascii="Inter" w:hAnsi="Inter" w:cs="Arial"/>
          <w:b/>
          <w:bCs/>
        </w:rPr>
        <w:t>5</w:t>
      </w:r>
      <w:r w:rsidRPr="41590B60">
        <w:rPr>
          <w:rFonts w:ascii="Inter" w:hAnsi="Inter" w:cs="Arial"/>
          <w:b/>
          <w:bCs/>
        </w:rPr>
        <w:t>: Latest Capital Programme Forecasts to 2028/29</w:t>
      </w:r>
    </w:p>
    <w:p w14:paraId="1150E593" w14:textId="4C495136" w:rsidR="16FD5590" w:rsidRPr="009D7A02" w:rsidRDefault="16FD5590" w:rsidP="16FD5590">
      <w:pPr>
        <w:pStyle w:val="ListParagraph"/>
        <w:spacing w:line="276" w:lineRule="auto"/>
        <w:ind w:left="0"/>
        <w:jc w:val="center"/>
        <w:rPr>
          <w:rFonts w:ascii="Inter" w:hAnsi="Inter" w:cs="Arial"/>
          <w:b/>
          <w:bCs/>
        </w:rPr>
      </w:pPr>
    </w:p>
    <w:tbl>
      <w:tblPr>
        <w:tblW w:w="6180" w:type="dxa"/>
        <w:tblInd w:w="1702" w:type="dxa"/>
        <w:tblLook w:val="04A0" w:firstRow="1" w:lastRow="0" w:firstColumn="1" w:lastColumn="0" w:noHBand="0" w:noVBand="1"/>
      </w:tblPr>
      <w:tblGrid>
        <w:gridCol w:w="2778"/>
        <w:gridCol w:w="1134"/>
        <w:gridCol w:w="1134"/>
        <w:gridCol w:w="1134"/>
      </w:tblGrid>
      <w:tr w:rsidR="00A015E8" w:rsidRPr="009D7A02" w14:paraId="49088172" w14:textId="77777777" w:rsidTr="0006328C">
        <w:trPr>
          <w:trHeight w:val="300"/>
        </w:trPr>
        <w:tc>
          <w:tcPr>
            <w:tcW w:w="2778" w:type="dxa"/>
            <w:tcBorders>
              <w:top w:val="single" w:sz="12" w:space="0" w:color="auto"/>
              <w:left w:val="single" w:sz="12" w:space="0" w:color="auto"/>
              <w:bottom w:val="nil"/>
              <w:right w:val="single" w:sz="12" w:space="0" w:color="auto"/>
            </w:tcBorders>
            <w:shd w:val="clear" w:color="auto" w:fill="E8E8E8"/>
            <w:noWrap/>
            <w:vAlign w:val="bottom"/>
            <w:hideMark/>
          </w:tcPr>
          <w:p w14:paraId="4A0E0720" w14:textId="77777777" w:rsidR="00A015E8" w:rsidRPr="009D7A02" w:rsidRDefault="337C341B" w:rsidP="16FD5590">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 </w:t>
            </w:r>
          </w:p>
        </w:tc>
        <w:tc>
          <w:tcPr>
            <w:tcW w:w="1134" w:type="dxa"/>
            <w:tcBorders>
              <w:top w:val="single" w:sz="12" w:space="0" w:color="auto"/>
              <w:left w:val="nil"/>
              <w:bottom w:val="nil"/>
              <w:right w:val="single" w:sz="4" w:space="0" w:color="auto"/>
            </w:tcBorders>
            <w:shd w:val="clear" w:color="auto" w:fill="E8E8E8"/>
            <w:noWrap/>
            <w:hideMark/>
          </w:tcPr>
          <w:p w14:paraId="173428E6" w14:textId="4623AE5E" w:rsidR="00A015E8" w:rsidRPr="009D7A02" w:rsidRDefault="00A015E8" w:rsidP="00A015E8">
            <w:pPr>
              <w:jc w:val="center"/>
              <w:rPr>
                <w:rFonts w:eastAsia="Times New Roman" w:cs="Calibri"/>
                <w:b/>
                <w:bCs/>
                <w:color w:val="000000"/>
                <w:kern w:val="0"/>
                <w:sz w:val="20"/>
                <w:szCs w:val="20"/>
                <w:lang w:eastAsia="en-GB"/>
                <w14:ligatures w14:val="none"/>
              </w:rPr>
            </w:pPr>
            <w:r w:rsidRPr="009D7A02">
              <w:rPr>
                <w:rFonts w:eastAsia="Times New Roman" w:cs="Calibri"/>
                <w:b/>
                <w:bCs/>
                <w:color w:val="000000"/>
                <w:kern w:val="0"/>
                <w:sz w:val="20"/>
                <w:szCs w:val="20"/>
                <w:lang w:eastAsia="en-GB"/>
                <w14:ligatures w14:val="none"/>
              </w:rPr>
              <w:t>2026/27</w:t>
            </w:r>
          </w:p>
        </w:tc>
        <w:tc>
          <w:tcPr>
            <w:tcW w:w="1134" w:type="dxa"/>
            <w:tcBorders>
              <w:top w:val="single" w:sz="12" w:space="0" w:color="auto"/>
              <w:left w:val="single" w:sz="4" w:space="0" w:color="auto"/>
              <w:bottom w:val="nil"/>
              <w:right w:val="single" w:sz="4" w:space="0" w:color="auto"/>
            </w:tcBorders>
            <w:shd w:val="clear" w:color="auto" w:fill="E8E8E8"/>
            <w:noWrap/>
            <w:hideMark/>
          </w:tcPr>
          <w:p w14:paraId="4711C3F7" w14:textId="2EB2CF4D" w:rsidR="00A015E8" w:rsidRPr="009D7A02" w:rsidRDefault="00A015E8" w:rsidP="00A015E8">
            <w:pPr>
              <w:jc w:val="center"/>
              <w:rPr>
                <w:rFonts w:eastAsia="Times New Roman" w:cs="Calibri"/>
                <w:b/>
                <w:bCs/>
                <w:color w:val="000000"/>
                <w:kern w:val="0"/>
                <w:sz w:val="20"/>
                <w:szCs w:val="20"/>
                <w:lang w:eastAsia="en-GB"/>
                <w14:ligatures w14:val="none"/>
              </w:rPr>
            </w:pPr>
            <w:r w:rsidRPr="009D7A02">
              <w:rPr>
                <w:rFonts w:eastAsia="Times New Roman" w:cs="Calibri"/>
                <w:b/>
                <w:bCs/>
                <w:color w:val="000000"/>
                <w:kern w:val="0"/>
                <w:sz w:val="20"/>
                <w:szCs w:val="20"/>
                <w:lang w:eastAsia="en-GB"/>
                <w14:ligatures w14:val="none"/>
              </w:rPr>
              <w:t>2027/28</w:t>
            </w:r>
          </w:p>
        </w:tc>
        <w:tc>
          <w:tcPr>
            <w:tcW w:w="1134" w:type="dxa"/>
            <w:tcBorders>
              <w:top w:val="single" w:sz="12" w:space="0" w:color="auto"/>
              <w:left w:val="single" w:sz="4" w:space="0" w:color="auto"/>
              <w:bottom w:val="nil"/>
              <w:right w:val="single" w:sz="12" w:space="0" w:color="auto"/>
            </w:tcBorders>
            <w:shd w:val="clear" w:color="auto" w:fill="E8E8E8"/>
            <w:noWrap/>
            <w:hideMark/>
          </w:tcPr>
          <w:p w14:paraId="0F97AE5B" w14:textId="2B990D49" w:rsidR="00A015E8" w:rsidRPr="009D7A02" w:rsidRDefault="00A015E8" w:rsidP="00A015E8">
            <w:pPr>
              <w:jc w:val="center"/>
              <w:rPr>
                <w:rFonts w:eastAsia="Times New Roman" w:cs="Calibri"/>
                <w:b/>
                <w:bCs/>
                <w:color w:val="000000"/>
                <w:kern w:val="0"/>
                <w:sz w:val="20"/>
                <w:szCs w:val="20"/>
                <w:lang w:eastAsia="en-GB"/>
                <w14:ligatures w14:val="none"/>
              </w:rPr>
            </w:pPr>
            <w:r w:rsidRPr="009D7A02">
              <w:rPr>
                <w:rFonts w:eastAsia="Times New Roman" w:cs="Calibri"/>
                <w:b/>
                <w:bCs/>
                <w:color w:val="000000"/>
                <w:kern w:val="0"/>
                <w:sz w:val="20"/>
                <w:szCs w:val="20"/>
                <w:lang w:eastAsia="en-GB"/>
                <w14:ligatures w14:val="none"/>
              </w:rPr>
              <w:t>2028/29</w:t>
            </w:r>
          </w:p>
        </w:tc>
      </w:tr>
      <w:tr w:rsidR="00A015E8" w:rsidRPr="009D7A02" w14:paraId="3479FDAF" w14:textId="77777777" w:rsidTr="0006328C">
        <w:trPr>
          <w:trHeight w:val="300"/>
        </w:trPr>
        <w:tc>
          <w:tcPr>
            <w:tcW w:w="2778" w:type="dxa"/>
            <w:tcBorders>
              <w:top w:val="nil"/>
              <w:left w:val="single" w:sz="12" w:space="0" w:color="auto"/>
              <w:bottom w:val="single" w:sz="12" w:space="0" w:color="auto"/>
              <w:right w:val="single" w:sz="12" w:space="0" w:color="auto"/>
            </w:tcBorders>
            <w:shd w:val="clear" w:color="auto" w:fill="E8E8E8"/>
            <w:noWrap/>
            <w:vAlign w:val="bottom"/>
            <w:hideMark/>
          </w:tcPr>
          <w:p w14:paraId="665AC894" w14:textId="77777777" w:rsidR="00A015E8" w:rsidRPr="009D7A02" w:rsidRDefault="00A015E8" w:rsidP="00A015E8">
            <w:pP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 </w:t>
            </w:r>
          </w:p>
        </w:tc>
        <w:tc>
          <w:tcPr>
            <w:tcW w:w="1134" w:type="dxa"/>
            <w:tcBorders>
              <w:top w:val="nil"/>
              <w:left w:val="nil"/>
              <w:bottom w:val="single" w:sz="12" w:space="0" w:color="auto"/>
              <w:right w:val="single" w:sz="4" w:space="0" w:color="auto"/>
            </w:tcBorders>
            <w:shd w:val="clear" w:color="auto" w:fill="E8E8E8"/>
            <w:noWrap/>
            <w:hideMark/>
          </w:tcPr>
          <w:p w14:paraId="43CDD19F" w14:textId="77777777" w:rsidR="00A015E8" w:rsidRPr="009D7A02" w:rsidRDefault="00A015E8" w:rsidP="00A015E8">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£'000</w:t>
            </w:r>
          </w:p>
        </w:tc>
        <w:tc>
          <w:tcPr>
            <w:tcW w:w="1134" w:type="dxa"/>
            <w:tcBorders>
              <w:top w:val="nil"/>
              <w:left w:val="nil"/>
              <w:bottom w:val="single" w:sz="12" w:space="0" w:color="auto"/>
              <w:right w:val="single" w:sz="4" w:space="0" w:color="auto"/>
            </w:tcBorders>
            <w:shd w:val="clear" w:color="auto" w:fill="E8E8E8"/>
            <w:noWrap/>
            <w:hideMark/>
          </w:tcPr>
          <w:p w14:paraId="49EFA444" w14:textId="77777777" w:rsidR="00A015E8" w:rsidRPr="009D7A02" w:rsidRDefault="00A015E8" w:rsidP="00A015E8">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£'000</w:t>
            </w:r>
          </w:p>
        </w:tc>
        <w:tc>
          <w:tcPr>
            <w:tcW w:w="1134" w:type="dxa"/>
            <w:tcBorders>
              <w:top w:val="nil"/>
              <w:left w:val="nil"/>
              <w:bottom w:val="single" w:sz="12" w:space="0" w:color="auto"/>
              <w:right w:val="single" w:sz="12" w:space="0" w:color="auto"/>
            </w:tcBorders>
            <w:shd w:val="clear" w:color="auto" w:fill="E8E8E8"/>
            <w:noWrap/>
            <w:hideMark/>
          </w:tcPr>
          <w:p w14:paraId="097DA6F0" w14:textId="77777777" w:rsidR="00A015E8" w:rsidRPr="009D7A02" w:rsidRDefault="00A015E8" w:rsidP="00A015E8">
            <w:pPr>
              <w:jc w:val="cente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£'000</w:t>
            </w:r>
          </w:p>
        </w:tc>
      </w:tr>
      <w:tr w:rsidR="00A015E8" w:rsidRPr="009D7A02" w14:paraId="25338545" w14:textId="77777777" w:rsidTr="0006328C">
        <w:trPr>
          <w:trHeight w:val="300"/>
        </w:trPr>
        <w:tc>
          <w:tcPr>
            <w:tcW w:w="2778" w:type="dxa"/>
            <w:tcBorders>
              <w:top w:val="nil"/>
              <w:left w:val="single" w:sz="12" w:space="0" w:color="auto"/>
              <w:bottom w:val="single" w:sz="4" w:space="0" w:color="auto"/>
              <w:right w:val="single" w:sz="12" w:space="0" w:color="auto"/>
            </w:tcBorders>
            <w:shd w:val="clear" w:color="auto" w:fill="E8E8E8"/>
            <w:noWrap/>
            <w:vAlign w:val="bottom"/>
            <w:hideMark/>
          </w:tcPr>
          <w:p w14:paraId="4705FAC4" w14:textId="77777777" w:rsidR="00A015E8" w:rsidRPr="009D7A02" w:rsidRDefault="00A015E8" w:rsidP="00A015E8">
            <w:pPr>
              <w:rPr>
                <w:rFonts w:eastAsia="Times New Roman" w:cs="Times New Roman"/>
                <w:color w:val="000000"/>
                <w:kern w:val="0"/>
                <w:sz w:val="20"/>
                <w:szCs w:val="20"/>
                <w:lang w:eastAsia="en-GB"/>
                <w14:ligatures w14:val="none"/>
              </w:rPr>
            </w:pPr>
            <w:r w:rsidRPr="009D7A02">
              <w:rPr>
                <w:rFonts w:eastAsia="Times New Roman" w:cs="Times New Roman"/>
                <w:color w:val="000000"/>
                <w:kern w:val="0"/>
                <w:sz w:val="20"/>
                <w:szCs w:val="20"/>
                <w:lang w:eastAsia="en-GB"/>
                <w14:ligatures w14:val="none"/>
              </w:rPr>
              <w:t>Business Solutions</w:t>
            </w:r>
          </w:p>
        </w:tc>
        <w:tc>
          <w:tcPr>
            <w:tcW w:w="1134" w:type="dxa"/>
            <w:tcBorders>
              <w:top w:val="nil"/>
              <w:left w:val="nil"/>
              <w:bottom w:val="single" w:sz="4" w:space="0" w:color="auto"/>
              <w:right w:val="single" w:sz="4" w:space="0" w:color="auto"/>
            </w:tcBorders>
            <w:noWrap/>
            <w:vAlign w:val="bottom"/>
            <w:hideMark/>
          </w:tcPr>
          <w:p w14:paraId="4B720306" w14:textId="6E2DEF11" w:rsidR="00A015E8" w:rsidRPr="009D7A02" w:rsidRDefault="00A015E8" w:rsidP="00A015E8">
            <w:pPr>
              <w:jc w:val="right"/>
              <w:rPr>
                <w:rFonts w:eastAsia="Times New Roman" w:cs="Times New Roman"/>
                <w:color w:val="000000"/>
                <w:kern w:val="0"/>
                <w:sz w:val="20"/>
                <w:szCs w:val="20"/>
                <w:lang w:eastAsia="en-GB"/>
                <w14:ligatures w14:val="none"/>
              </w:rPr>
            </w:pPr>
            <w:r w:rsidRPr="40F30669">
              <w:rPr>
                <w:rFonts w:eastAsia="Times New Roman" w:cs="Times New Roman"/>
                <w:color w:val="000000"/>
                <w:kern w:val="0"/>
                <w:sz w:val="20"/>
                <w:szCs w:val="20"/>
                <w:lang w:eastAsia="en-GB"/>
                <w14:ligatures w14:val="none"/>
              </w:rPr>
              <w:t>19,308</w:t>
            </w:r>
          </w:p>
        </w:tc>
        <w:tc>
          <w:tcPr>
            <w:tcW w:w="1134" w:type="dxa"/>
            <w:tcBorders>
              <w:top w:val="nil"/>
              <w:left w:val="single" w:sz="4" w:space="0" w:color="auto"/>
              <w:bottom w:val="single" w:sz="4" w:space="0" w:color="auto"/>
              <w:right w:val="single" w:sz="4" w:space="0" w:color="auto"/>
            </w:tcBorders>
            <w:noWrap/>
            <w:vAlign w:val="bottom"/>
            <w:hideMark/>
          </w:tcPr>
          <w:p w14:paraId="6FEAE481" w14:textId="38686DCA" w:rsidR="00A015E8" w:rsidRPr="009D7A02" w:rsidRDefault="00A015E8" w:rsidP="00A015E8">
            <w:pPr>
              <w:jc w:val="right"/>
              <w:rPr>
                <w:rFonts w:eastAsia="Times New Roman" w:cs="Times New Roman"/>
                <w:color w:val="000000"/>
                <w:kern w:val="0"/>
                <w:sz w:val="20"/>
                <w:szCs w:val="20"/>
                <w:lang w:eastAsia="en-GB"/>
                <w14:ligatures w14:val="none"/>
              </w:rPr>
            </w:pPr>
            <w:r w:rsidRPr="40F30669">
              <w:rPr>
                <w:rFonts w:eastAsia="Times New Roman" w:cs="Times New Roman"/>
                <w:color w:val="000000"/>
                <w:kern w:val="0"/>
                <w:sz w:val="20"/>
                <w:szCs w:val="20"/>
                <w:lang w:eastAsia="en-GB"/>
                <w14:ligatures w14:val="none"/>
              </w:rPr>
              <w:t>15,369</w:t>
            </w:r>
          </w:p>
        </w:tc>
        <w:tc>
          <w:tcPr>
            <w:tcW w:w="1134" w:type="dxa"/>
            <w:tcBorders>
              <w:top w:val="nil"/>
              <w:left w:val="single" w:sz="4" w:space="0" w:color="auto"/>
              <w:bottom w:val="single" w:sz="4" w:space="0" w:color="auto"/>
              <w:right w:val="single" w:sz="12" w:space="0" w:color="auto"/>
            </w:tcBorders>
            <w:noWrap/>
            <w:vAlign w:val="bottom"/>
            <w:hideMark/>
          </w:tcPr>
          <w:p w14:paraId="214D1536" w14:textId="2F560192" w:rsidR="00A015E8" w:rsidRPr="009D7A02" w:rsidRDefault="00A015E8" w:rsidP="00A015E8">
            <w:pPr>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w:t>
            </w:r>
          </w:p>
        </w:tc>
      </w:tr>
      <w:tr w:rsidR="00A015E8" w:rsidRPr="009D7A02" w14:paraId="27E077CA" w14:textId="77777777" w:rsidTr="0006328C">
        <w:trPr>
          <w:trHeight w:val="290"/>
        </w:trPr>
        <w:tc>
          <w:tcPr>
            <w:tcW w:w="2778" w:type="dxa"/>
            <w:tcBorders>
              <w:top w:val="nil"/>
              <w:left w:val="single" w:sz="12" w:space="0" w:color="auto"/>
              <w:bottom w:val="single" w:sz="4" w:space="0" w:color="auto"/>
              <w:right w:val="single" w:sz="12" w:space="0" w:color="auto"/>
            </w:tcBorders>
            <w:shd w:val="clear" w:color="auto" w:fill="E8E8E8"/>
            <w:noWrap/>
            <w:vAlign w:val="bottom"/>
            <w:hideMark/>
          </w:tcPr>
          <w:p w14:paraId="448C7AF0" w14:textId="25195785" w:rsidR="00A015E8" w:rsidRPr="009D7A02" w:rsidRDefault="00205E5C" w:rsidP="00A015E8">
            <w:pPr>
              <w:rPr>
                <w:rFonts w:eastAsia="Times New Roman" w:cs="Times New Roman"/>
                <w:color w:val="000000"/>
                <w:kern w:val="0"/>
                <w:sz w:val="20"/>
                <w:szCs w:val="20"/>
                <w:lang w:eastAsia="en-GB"/>
                <w14:ligatures w14:val="none"/>
              </w:rPr>
            </w:pPr>
            <w:r w:rsidRPr="009D7A02">
              <w:rPr>
                <w:color w:val="000000"/>
                <w:sz w:val="20"/>
                <w:szCs w:val="20"/>
              </w:rPr>
              <w:t>Inward Investment and Marketing</w:t>
            </w:r>
          </w:p>
        </w:tc>
        <w:tc>
          <w:tcPr>
            <w:tcW w:w="1134" w:type="dxa"/>
            <w:tcBorders>
              <w:top w:val="nil"/>
              <w:left w:val="nil"/>
              <w:bottom w:val="single" w:sz="4" w:space="0" w:color="auto"/>
              <w:right w:val="single" w:sz="4" w:space="0" w:color="auto"/>
            </w:tcBorders>
            <w:noWrap/>
            <w:vAlign w:val="bottom"/>
            <w:hideMark/>
          </w:tcPr>
          <w:p w14:paraId="5C551EFB" w14:textId="179CB1B0" w:rsidR="00A015E8" w:rsidRPr="009D7A02" w:rsidRDefault="00A015E8" w:rsidP="00A015E8">
            <w:pPr>
              <w:jc w:val="right"/>
              <w:rPr>
                <w:rFonts w:eastAsia="Times New Roman" w:cs="Times New Roman"/>
                <w:color w:val="000000"/>
                <w:kern w:val="0"/>
                <w:sz w:val="20"/>
                <w:szCs w:val="20"/>
                <w:lang w:eastAsia="en-GB"/>
                <w14:ligatures w14:val="none"/>
              </w:rPr>
            </w:pPr>
            <w:r w:rsidRPr="40F30669">
              <w:rPr>
                <w:rFonts w:eastAsia="Times New Roman" w:cs="Times New Roman"/>
                <w:color w:val="000000"/>
                <w:kern w:val="0"/>
                <w:sz w:val="20"/>
                <w:szCs w:val="20"/>
                <w:lang w:eastAsia="en-GB"/>
                <w14:ligatures w14:val="none"/>
              </w:rPr>
              <w:t>6,327</w:t>
            </w:r>
          </w:p>
        </w:tc>
        <w:tc>
          <w:tcPr>
            <w:tcW w:w="1134" w:type="dxa"/>
            <w:tcBorders>
              <w:top w:val="nil"/>
              <w:left w:val="single" w:sz="4" w:space="0" w:color="auto"/>
              <w:bottom w:val="single" w:sz="4" w:space="0" w:color="auto"/>
              <w:right w:val="single" w:sz="4" w:space="0" w:color="auto"/>
            </w:tcBorders>
            <w:noWrap/>
            <w:vAlign w:val="bottom"/>
            <w:hideMark/>
          </w:tcPr>
          <w:p w14:paraId="48925C33" w14:textId="75BCFE41" w:rsidR="00A015E8" w:rsidRPr="009D7A02" w:rsidRDefault="00A015E8" w:rsidP="00A015E8">
            <w:pPr>
              <w:jc w:val="right"/>
              <w:rPr>
                <w:rFonts w:eastAsia="Times New Roman" w:cs="Times New Roman"/>
                <w:color w:val="000000"/>
                <w:kern w:val="0"/>
                <w:sz w:val="20"/>
                <w:szCs w:val="20"/>
                <w:lang w:eastAsia="en-GB"/>
                <w14:ligatures w14:val="none"/>
              </w:rPr>
            </w:pPr>
            <w:r w:rsidRPr="40F30669">
              <w:rPr>
                <w:rFonts w:eastAsia="Times New Roman" w:cs="Times New Roman"/>
                <w:color w:val="000000"/>
                <w:kern w:val="0"/>
                <w:sz w:val="20"/>
                <w:szCs w:val="20"/>
                <w:lang w:eastAsia="en-GB"/>
                <w14:ligatures w14:val="none"/>
              </w:rPr>
              <w:t>-</w:t>
            </w:r>
          </w:p>
        </w:tc>
        <w:tc>
          <w:tcPr>
            <w:tcW w:w="1134" w:type="dxa"/>
            <w:tcBorders>
              <w:top w:val="nil"/>
              <w:left w:val="single" w:sz="4" w:space="0" w:color="auto"/>
              <w:bottom w:val="single" w:sz="4" w:space="0" w:color="auto"/>
              <w:right w:val="single" w:sz="12" w:space="0" w:color="auto"/>
            </w:tcBorders>
            <w:noWrap/>
            <w:vAlign w:val="bottom"/>
            <w:hideMark/>
          </w:tcPr>
          <w:p w14:paraId="31E7E246" w14:textId="5636E375" w:rsidR="00A015E8" w:rsidRPr="009D7A02" w:rsidRDefault="00A015E8" w:rsidP="00A015E8">
            <w:pPr>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w:t>
            </w:r>
          </w:p>
        </w:tc>
      </w:tr>
      <w:tr w:rsidR="00A015E8" w:rsidRPr="009D7A02" w14:paraId="37FA3ABF" w14:textId="77777777" w:rsidTr="0006328C">
        <w:trPr>
          <w:trHeight w:val="300"/>
        </w:trPr>
        <w:tc>
          <w:tcPr>
            <w:tcW w:w="2778" w:type="dxa"/>
            <w:tcBorders>
              <w:top w:val="nil"/>
              <w:left w:val="single" w:sz="12" w:space="0" w:color="auto"/>
              <w:bottom w:val="single" w:sz="12" w:space="0" w:color="auto"/>
              <w:right w:val="single" w:sz="12" w:space="0" w:color="auto"/>
            </w:tcBorders>
            <w:shd w:val="clear" w:color="auto" w:fill="E8E8E8"/>
            <w:noWrap/>
            <w:vAlign w:val="bottom"/>
            <w:hideMark/>
          </w:tcPr>
          <w:p w14:paraId="69604A7C" w14:textId="77777777" w:rsidR="00A015E8" w:rsidRPr="009D7A02" w:rsidRDefault="00A015E8" w:rsidP="00A015E8">
            <w:pPr>
              <w:rPr>
                <w:rFonts w:eastAsia="Times New Roman" w:cs="Times New Roman"/>
                <w:color w:val="000000"/>
                <w:kern w:val="0"/>
                <w:sz w:val="20"/>
                <w:szCs w:val="20"/>
                <w:lang w:eastAsia="en-GB"/>
                <w14:ligatures w14:val="none"/>
              </w:rPr>
            </w:pPr>
            <w:r w:rsidRPr="40F30669">
              <w:rPr>
                <w:rFonts w:eastAsia="Times New Roman" w:cs="Times New Roman"/>
                <w:color w:val="000000"/>
                <w:kern w:val="0"/>
                <w:sz w:val="20"/>
                <w:szCs w:val="20"/>
                <w:lang w:eastAsia="en-GB"/>
                <w14:ligatures w14:val="none"/>
              </w:rPr>
              <w:t>Transport</w:t>
            </w:r>
          </w:p>
        </w:tc>
        <w:tc>
          <w:tcPr>
            <w:tcW w:w="1134" w:type="dxa"/>
            <w:tcBorders>
              <w:top w:val="nil"/>
              <w:left w:val="nil"/>
              <w:bottom w:val="single" w:sz="12" w:space="0" w:color="auto"/>
              <w:right w:val="single" w:sz="4" w:space="0" w:color="auto"/>
            </w:tcBorders>
            <w:noWrap/>
            <w:vAlign w:val="bottom"/>
            <w:hideMark/>
          </w:tcPr>
          <w:p w14:paraId="2E16698A" w14:textId="606DB50B" w:rsidR="00A015E8" w:rsidRPr="009D7A02" w:rsidRDefault="00A015E8" w:rsidP="00A015E8">
            <w:pPr>
              <w:jc w:val="right"/>
              <w:rPr>
                <w:rFonts w:eastAsia="Times New Roman" w:cs="Times New Roman"/>
                <w:color w:val="000000"/>
                <w:kern w:val="0"/>
                <w:sz w:val="20"/>
                <w:szCs w:val="20"/>
                <w:lang w:eastAsia="en-GB"/>
                <w14:ligatures w14:val="none"/>
              </w:rPr>
            </w:pPr>
            <w:r w:rsidRPr="40F30669">
              <w:rPr>
                <w:rFonts w:eastAsia="Times New Roman" w:cs="Times New Roman"/>
                <w:color w:val="000000"/>
                <w:kern w:val="0"/>
                <w:sz w:val="20"/>
                <w:szCs w:val="20"/>
                <w:lang w:eastAsia="en-GB"/>
                <w14:ligatures w14:val="none"/>
              </w:rPr>
              <w:t>151,079</w:t>
            </w:r>
          </w:p>
        </w:tc>
        <w:tc>
          <w:tcPr>
            <w:tcW w:w="1134" w:type="dxa"/>
            <w:tcBorders>
              <w:top w:val="single" w:sz="4" w:space="0" w:color="auto"/>
              <w:left w:val="nil"/>
              <w:bottom w:val="single" w:sz="12" w:space="0" w:color="auto"/>
              <w:right w:val="single" w:sz="4" w:space="0" w:color="auto"/>
            </w:tcBorders>
            <w:noWrap/>
            <w:vAlign w:val="bottom"/>
            <w:hideMark/>
          </w:tcPr>
          <w:p w14:paraId="4870D469" w14:textId="1D8708BB" w:rsidR="16FD5590" w:rsidRPr="009D7A02" w:rsidRDefault="16FD5590" w:rsidP="16FD5590">
            <w:pPr>
              <w:jc w:val="right"/>
              <w:rPr>
                <w:rFonts w:eastAsia="Inter Light" w:cs="Inter Light"/>
                <w:sz w:val="20"/>
                <w:szCs w:val="20"/>
              </w:rPr>
            </w:pPr>
            <w:r w:rsidRPr="40F30669">
              <w:rPr>
                <w:rFonts w:eastAsia="Inter Light" w:cs="Inter Light"/>
                <w:sz w:val="20"/>
                <w:szCs w:val="20"/>
              </w:rPr>
              <w:t>230,000</w:t>
            </w:r>
          </w:p>
        </w:tc>
        <w:tc>
          <w:tcPr>
            <w:tcW w:w="1134" w:type="dxa"/>
            <w:tcBorders>
              <w:top w:val="nil"/>
              <w:left w:val="nil"/>
              <w:bottom w:val="single" w:sz="12" w:space="0" w:color="auto"/>
              <w:right w:val="single" w:sz="12" w:space="0" w:color="auto"/>
            </w:tcBorders>
            <w:noWrap/>
            <w:vAlign w:val="bottom"/>
            <w:hideMark/>
          </w:tcPr>
          <w:p w14:paraId="1F4E3BBF" w14:textId="1A22FC16" w:rsidR="16FD5590" w:rsidRPr="009D7A02" w:rsidRDefault="16FD5590" w:rsidP="16FD5590">
            <w:pPr>
              <w:jc w:val="right"/>
              <w:rPr>
                <w:rFonts w:eastAsia="Inter Light" w:cs="Inter Light"/>
                <w:sz w:val="20"/>
                <w:szCs w:val="20"/>
              </w:rPr>
            </w:pPr>
            <w:r w:rsidRPr="40F30669">
              <w:rPr>
                <w:rFonts w:eastAsia="Inter Light" w:cs="Inter Light"/>
                <w:sz w:val="20"/>
                <w:szCs w:val="20"/>
              </w:rPr>
              <w:t>810,000</w:t>
            </w:r>
          </w:p>
        </w:tc>
      </w:tr>
      <w:tr w:rsidR="00A015E8" w:rsidRPr="009D7A02" w14:paraId="3042560B" w14:textId="77777777" w:rsidTr="0006328C">
        <w:trPr>
          <w:trHeight w:val="310"/>
        </w:trPr>
        <w:tc>
          <w:tcPr>
            <w:tcW w:w="2778" w:type="dxa"/>
            <w:tcBorders>
              <w:top w:val="nil"/>
              <w:left w:val="single" w:sz="12" w:space="0" w:color="auto"/>
              <w:bottom w:val="single" w:sz="12" w:space="0" w:color="auto"/>
              <w:right w:val="single" w:sz="12" w:space="0" w:color="auto"/>
            </w:tcBorders>
            <w:shd w:val="clear" w:color="auto" w:fill="E8E8E8"/>
            <w:noWrap/>
            <w:vAlign w:val="bottom"/>
            <w:hideMark/>
          </w:tcPr>
          <w:p w14:paraId="15AC7580" w14:textId="77777777" w:rsidR="00A015E8" w:rsidRPr="009D7A02" w:rsidRDefault="00A015E8" w:rsidP="00A015E8">
            <w:pPr>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 </w:t>
            </w:r>
          </w:p>
        </w:tc>
        <w:tc>
          <w:tcPr>
            <w:tcW w:w="1134" w:type="dxa"/>
            <w:tcBorders>
              <w:top w:val="nil"/>
              <w:left w:val="nil"/>
              <w:bottom w:val="single" w:sz="12" w:space="0" w:color="auto"/>
              <w:right w:val="single" w:sz="4" w:space="0" w:color="auto"/>
            </w:tcBorders>
            <w:shd w:val="clear" w:color="auto" w:fill="E8E8E8"/>
            <w:noWrap/>
            <w:vAlign w:val="bottom"/>
            <w:hideMark/>
          </w:tcPr>
          <w:p w14:paraId="14246740" w14:textId="0850F3DC" w:rsidR="00A015E8" w:rsidRPr="009D7A02" w:rsidRDefault="00A015E8" w:rsidP="00A015E8">
            <w:pPr>
              <w:jc w:val="right"/>
              <w:rPr>
                <w:rFonts w:eastAsia="Times New Roman" w:cs="Times New Roman"/>
                <w:b/>
                <w:bCs/>
                <w:color w:val="000000"/>
                <w:kern w:val="0"/>
                <w:sz w:val="20"/>
                <w:szCs w:val="20"/>
                <w:lang w:eastAsia="en-GB"/>
                <w14:ligatures w14:val="none"/>
              </w:rPr>
            </w:pPr>
            <w:r w:rsidRPr="009D7A02">
              <w:rPr>
                <w:rFonts w:eastAsia="Times New Roman" w:cs="Times New Roman"/>
                <w:b/>
                <w:bCs/>
                <w:color w:val="000000"/>
                <w:kern w:val="0"/>
                <w:sz w:val="20"/>
                <w:szCs w:val="20"/>
                <w:lang w:eastAsia="en-GB"/>
                <w14:ligatures w14:val="none"/>
              </w:rPr>
              <w:t>176,714</w:t>
            </w:r>
          </w:p>
        </w:tc>
        <w:tc>
          <w:tcPr>
            <w:tcW w:w="1134" w:type="dxa"/>
            <w:tcBorders>
              <w:top w:val="single" w:sz="12" w:space="0" w:color="auto"/>
              <w:left w:val="single" w:sz="4" w:space="0" w:color="auto"/>
              <w:bottom w:val="single" w:sz="12" w:space="0" w:color="auto"/>
              <w:right w:val="single" w:sz="4" w:space="0" w:color="auto"/>
            </w:tcBorders>
            <w:shd w:val="clear" w:color="auto" w:fill="E8E8E8"/>
            <w:noWrap/>
            <w:vAlign w:val="bottom"/>
            <w:hideMark/>
          </w:tcPr>
          <w:p w14:paraId="2D3ACC11" w14:textId="4D16F99D" w:rsidR="16FD5590" w:rsidRPr="009D7A02" w:rsidRDefault="16FD5590" w:rsidP="16FD5590">
            <w:pPr>
              <w:jc w:val="right"/>
            </w:pPr>
            <w:r w:rsidRPr="009D7A02">
              <w:rPr>
                <w:rFonts w:eastAsia="Inter Light" w:cs="Inter Light"/>
                <w:b/>
                <w:bCs/>
                <w:sz w:val="20"/>
                <w:szCs w:val="20"/>
              </w:rPr>
              <w:t>245,369</w:t>
            </w:r>
          </w:p>
        </w:tc>
        <w:tc>
          <w:tcPr>
            <w:tcW w:w="1134" w:type="dxa"/>
            <w:tcBorders>
              <w:top w:val="nil"/>
              <w:left w:val="single" w:sz="4" w:space="0" w:color="auto"/>
              <w:bottom w:val="single" w:sz="12" w:space="0" w:color="auto"/>
              <w:right w:val="single" w:sz="12" w:space="0" w:color="auto"/>
            </w:tcBorders>
            <w:shd w:val="clear" w:color="auto" w:fill="E8E8E8"/>
            <w:noWrap/>
            <w:vAlign w:val="bottom"/>
            <w:hideMark/>
          </w:tcPr>
          <w:p w14:paraId="18DF6BE6" w14:textId="18BC199C" w:rsidR="16FD5590" w:rsidRPr="009D7A02" w:rsidRDefault="16FD5590" w:rsidP="16FD5590">
            <w:pPr>
              <w:jc w:val="right"/>
            </w:pPr>
            <w:r w:rsidRPr="009D7A02">
              <w:rPr>
                <w:rFonts w:eastAsia="Inter Light" w:cs="Inter Light"/>
                <w:b/>
                <w:bCs/>
                <w:sz w:val="20"/>
                <w:szCs w:val="20"/>
              </w:rPr>
              <w:t>810,000</w:t>
            </w:r>
          </w:p>
        </w:tc>
      </w:tr>
    </w:tbl>
    <w:p w14:paraId="364BD852" w14:textId="77777777" w:rsidR="00A015E8" w:rsidRPr="009D7A02" w:rsidRDefault="00A015E8" w:rsidP="00597EF7">
      <w:pPr>
        <w:pStyle w:val="ListParagraph"/>
        <w:spacing w:line="276" w:lineRule="auto"/>
        <w:ind w:left="0"/>
        <w:rPr>
          <w:rFonts w:ascii="Inter" w:hAnsi="Inter" w:cs="Arial"/>
          <w:b/>
        </w:rPr>
      </w:pPr>
    </w:p>
    <w:p w14:paraId="6ADFCFDE" w14:textId="02548B93" w:rsidR="006B2054" w:rsidRDefault="00D57616" w:rsidP="2DFE4DF5">
      <w:pPr>
        <w:pStyle w:val="ListParagraph"/>
        <w:numPr>
          <w:ilvl w:val="0"/>
          <w:numId w:val="3"/>
        </w:numPr>
        <w:spacing w:line="276" w:lineRule="auto"/>
        <w:rPr>
          <w:rFonts w:ascii="Inter" w:hAnsi="Inter" w:cs="Arial"/>
        </w:rPr>
      </w:pPr>
      <w:r w:rsidRPr="2DFE4DF5">
        <w:rPr>
          <w:rFonts w:ascii="Inter" w:hAnsi="Inter" w:cs="Arial"/>
        </w:rPr>
        <w:t>The</w:t>
      </w:r>
      <w:r w:rsidR="00C1210B" w:rsidRPr="2DFE4DF5">
        <w:rPr>
          <w:rFonts w:ascii="Inter" w:hAnsi="Inter" w:cs="Arial"/>
        </w:rPr>
        <w:t xml:space="preserve"> table above reflects the </w:t>
      </w:r>
      <w:r w:rsidR="00C175BB" w:rsidRPr="2DFE4DF5">
        <w:rPr>
          <w:rFonts w:ascii="Inter" w:hAnsi="Inter" w:cs="Arial"/>
        </w:rPr>
        <w:t>Capital programme over the period of the MTFP</w:t>
      </w:r>
      <w:r w:rsidR="00FB55C8" w:rsidRPr="2DFE4DF5">
        <w:rPr>
          <w:rFonts w:ascii="Inter" w:hAnsi="Inter" w:cs="Arial"/>
        </w:rPr>
        <w:t xml:space="preserve"> by directorate</w:t>
      </w:r>
      <w:r w:rsidR="294A792D" w:rsidRPr="2DFE4DF5">
        <w:rPr>
          <w:rFonts w:ascii="Inter" w:hAnsi="Inter" w:cs="Arial"/>
        </w:rPr>
        <w:t>. T</w:t>
      </w:r>
      <w:r w:rsidR="007803B6" w:rsidRPr="2DFE4DF5">
        <w:rPr>
          <w:rFonts w:ascii="Inter" w:hAnsi="Inter" w:cs="Arial"/>
        </w:rPr>
        <w:t>his is</w:t>
      </w:r>
      <w:r w:rsidR="49891C45" w:rsidRPr="2DFE4DF5">
        <w:rPr>
          <w:rFonts w:ascii="Inter" w:hAnsi="Inter" w:cs="Arial"/>
        </w:rPr>
        <w:t xml:space="preserve"> further</w:t>
      </w:r>
      <w:r w:rsidR="007803B6" w:rsidRPr="2DFE4DF5">
        <w:rPr>
          <w:rFonts w:ascii="Inter" w:hAnsi="Inter" w:cs="Arial"/>
        </w:rPr>
        <w:t xml:space="preserve"> </w:t>
      </w:r>
      <w:r w:rsidR="00533498" w:rsidRPr="2DFE4DF5">
        <w:rPr>
          <w:rFonts w:ascii="Inter" w:hAnsi="Inter" w:cs="Arial"/>
        </w:rPr>
        <w:t xml:space="preserve">detailed by </w:t>
      </w:r>
      <w:r w:rsidR="00250FA7" w:rsidRPr="2DFE4DF5">
        <w:rPr>
          <w:rFonts w:ascii="Inter" w:hAnsi="Inter" w:cs="Arial"/>
        </w:rPr>
        <w:t>Capital project below.</w:t>
      </w:r>
    </w:p>
    <w:p w14:paraId="5D8B3E38" w14:textId="27545F7C" w:rsidR="7D4B1A0A" w:rsidRPr="00D57616" w:rsidRDefault="00D57616" w:rsidP="006B2054">
      <w:pPr>
        <w:pStyle w:val="ListParagraph"/>
        <w:spacing w:line="276" w:lineRule="auto"/>
        <w:ind w:left="360"/>
        <w:rPr>
          <w:rFonts w:ascii="Inter" w:hAnsi="Inter" w:cs="Arial"/>
        </w:rPr>
      </w:pPr>
      <w:r w:rsidRPr="00D57616">
        <w:rPr>
          <w:rFonts w:ascii="Inter" w:hAnsi="Inter" w:cs="Arial"/>
        </w:rPr>
        <w:t xml:space="preserve"> </w:t>
      </w:r>
    </w:p>
    <w:p w14:paraId="4D2AADF1" w14:textId="597ECC63" w:rsidR="00387CA6" w:rsidRDefault="0006328C" w:rsidP="07464008">
      <w:pPr>
        <w:pStyle w:val="ListParagraph"/>
        <w:spacing w:line="276" w:lineRule="auto"/>
        <w:ind w:left="0" w:firstLine="720"/>
        <w:rPr>
          <w:rFonts w:ascii="Inter" w:hAnsi="Inter" w:cs="Arial"/>
          <w:b/>
        </w:rPr>
      </w:pPr>
      <w:r>
        <w:rPr>
          <w:rFonts w:ascii="Inter" w:hAnsi="Inter" w:cs="Arial"/>
          <w:b/>
        </w:rPr>
        <w:t>Capital Projects</w:t>
      </w:r>
      <w:r w:rsidR="001D624A">
        <w:rPr>
          <w:rFonts w:ascii="Inter" w:hAnsi="Inter" w:cs="Arial"/>
          <w:b/>
        </w:rPr>
        <w:t xml:space="preserve"> 2026/27</w:t>
      </w:r>
    </w:p>
    <w:p w14:paraId="349C35B2" w14:textId="77777777" w:rsidR="00906610" w:rsidRDefault="00906610" w:rsidP="00597EF7">
      <w:pPr>
        <w:pStyle w:val="ListParagraph"/>
        <w:spacing w:line="276" w:lineRule="auto"/>
        <w:ind w:left="0"/>
        <w:rPr>
          <w:rFonts w:ascii="Inter" w:hAnsi="Inter" w:cs="Arial"/>
          <w:b/>
        </w:rPr>
      </w:pPr>
    </w:p>
    <w:p w14:paraId="7FC81854" w14:textId="7396ECFF" w:rsidR="00906610" w:rsidRPr="009D7A02" w:rsidRDefault="00906610" w:rsidP="07464008">
      <w:pPr>
        <w:pStyle w:val="ListParagraph"/>
        <w:spacing w:line="276" w:lineRule="auto"/>
        <w:ind w:left="0"/>
        <w:jc w:val="center"/>
        <w:rPr>
          <w:rFonts w:ascii="Inter" w:hAnsi="Inter" w:cs="Arial"/>
          <w:b/>
        </w:rPr>
      </w:pPr>
      <w:r>
        <w:rPr>
          <w:rFonts w:ascii="Inter" w:hAnsi="Inter" w:cs="Arial"/>
          <w:b/>
        </w:rPr>
        <w:t>Table 1</w:t>
      </w:r>
      <w:r w:rsidR="009C75B5">
        <w:rPr>
          <w:rFonts w:ascii="Inter" w:hAnsi="Inter" w:cs="Arial"/>
          <w:b/>
        </w:rPr>
        <w:t>6</w:t>
      </w:r>
      <w:r>
        <w:rPr>
          <w:rFonts w:ascii="Inter" w:hAnsi="Inter" w:cs="Arial"/>
          <w:b/>
        </w:rPr>
        <w:t xml:space="preserve"> TVCA </w:t>
      </w:r>
      <w:r w:rsidR="00012EDA">
        <w:rPr>
          <w:rFonts w:ascii="Inter" w:hAnsi="Inter" w:cs="Arial"/>
          <w:b/>
        </w:rPr>
        <w:t>Capital Projects 2026/27</w:t>
      </w:r>
    </w:p>
    <w:p w14:paraId="277AD732" w14:textId="77777777" w:rsidR="0006328C" w:rsidRDefault="0006328C" w:rsidP="00597EF7">
      <w:pPr>
        <w:pStyle w:val="ListParagraph"/>
        <w:spacing w:line="276" w:lineRule="auto"/>
        <w:ind w:left="0"/>
        <w:rPr>
          <w:rFonts w:ascii="Inter" w:hAnsi="Inter" w:cs="Arial"/>
          <w:b/>
        </w:rPr>
      </w:pPr>
    </w:p>
    <w:tbl>
      <w:tblPr>
        <w:tblW w:w="7420" w:type="dxa"/>
        <w:tblInd w:w="1085" w:type="dxa"/>
        <w:tblLook w:val="04A0" w:firstRow="1" w:lastRow="0" w:firstColumn="1" w:lastColumn="0" w:noHBand="0" w:noVBand="1"/>
      </w:tblPr>
      <w:tblGrid>
        <w:gridCol w:w="6280"/>
        <w:gridCol w:w="1140"/>
      </w:tblGrid>
      <w:tr w:rsidR="00B52041" w:rsidRPr="00B52041" w14:paraId="4708D946" w14:textId="77777777" w:rsidTr="00057CB5">
        <w:trPr>
          <w:trHeight w:val="540"/>
        </w:trPr>
        <w:tc>
          <w:tcPr>
            <w:tcW w:w="6280" w:type="dxa"/>
            <w:tcBorders>
              <w:top w:val="single" w:sz="12" w:space="0" w:color="auto"/>
              <w:left w:val="single" w:sz="12" w:space="0" w:color="auto"/>
              <w:bottom w:val="single" w:sz="12" w:space="0" w:color="auto"/>
              <w:right w:val="single" w:sz="12" w:space="0" w:color="auto"/>
            </w:tcBorders>
            <w:shd w:val="clear" w:color="auto" w:fill="E8E8E8"/>
            <w:noWrap/>
            <w:hideMark/>
          </w:tcPr>
          <w:p w14:paraId="1AC8E62D" w14:textId="65EAE62D" w:rsidR="00B52041" w:rsidRPr="00012EDA" w:rsidRDefault="00012EDA" w:rsidP="00012EDA">
            <w:pPr>
              <w:jc w:val="center"/>
              <w:rPr>
                <w:rFonts w:eastAsia="Times New Roman" w:cs="Times New Roman"/>
                <w:b/>
                <w:bCs/>
                <w:color w:val="000000"/>
                <w:kern w:val="0"/>
                <w:sz w:val="20"/>
                <w:szCs w:val="20"/>
                <w:lang w:eastAsia="en-GB"/>
                <w14:ligatures w14:val="none"/>
              </w:rPr>
            </w:pPr>
            <w:r w:rsidRPr="00012EDA">
              <w:rPr>
                <w:rFonts w:eastAsia="Times New Roman" w:cs="Times New Roman"/>
                <w:b/>
                <w:bCs/>
                <w:color w:val="000000"/>
                <w:kern w:val="0"/>
                <w:sz w:val="20"/>
                <w:szCs w:val="20"/>
                <w:lang w:eastAsia="en-GB"/>
                <w14:ligatures w14:val="none"/>
              </w:rPr>
              <w:t>Capital Projects</w:t>
            </w:r>
          </w:p>
        </w:tc>
        <w:tc>
          <w:tcPr>
            <w:tcW w:w="1140" w:type="dxa"/>
            <w:tcBorders>
              <w:top w:val="single" w:sz="12" w:space="0" w:color="auto"/>
              <w:left w:val="nil"/>
              <w:bottom w:val="nil"/>
              <w:right w:val="single" w:sz="12" w:space="0" w:color="auto"/>
            </w:tcBorders>
            <w:shd w:val="clear" w:color="auto" w:fill="E8E8E8"/>
            <w:hideMark/>
          </w:tcPr>
          <w:p w14:paraId="2832FC61" w14:textId="77777777" w:rsidR="00B52041" w:rsidRPr="00012EDA" w:rsidRDefault="00B52041" w:rsidP="00012EDA">
            <w:pPr>
              <w:jc w:val="center"/>
              <w:rPr>
                <w:rFonts w:eastAsia="Times New Roman" w:cs="Times New Roman"/>
                <w:b/>
                <w:bCs/>
                <w:color w:val="000000"/>
                <w:kern w:val="0"/>
                <w:sz w:val="20"/>
                <w:szCs w:val="20"/>
                <w:lang w:eastAsia="en-GB"/>
                <w14:ligatures w14:val="none"/>
              </w:rPr>
            </w:pPr>
            <w:r w:rsidRPr="00012EDA">
              <w:rPr>
                <w:rFonts w:eastAsia="Times New Roman" w:cs="Times New Roman"/>
                <w:b/>
                <w:bCs/>
                <w:color w:val="000000"/>
                <w:kern w:val="0"/>
                <w:sz w:val="20"/>
                <w:szCs w:val="20"/>
                <w:lang w:eastAsia="en-GB"/>
                <w14:ligatures w14:val="none"/>
              </w:rPr>
              <w:t>2026/27 £'000</w:t>
            </w:r>
          </w:p>
        </w:tc>
      </w:tr>
      <w:tr w:rsidR="00B52041" w:rsidRPr="00B52041" w14:paraId="71DE5BFC" w14:textId="77777777" w:rsidTr="00057CB5">
        <w:trPr>
          <w:trHeight w:val="300"/>
        </w:trPr>
        <w:tc>
          <w:tcPr>
            <w:tcW w:w="6280"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39842992" w14:textId="77777777" w:rsidR="00B52041" w:rsidRPr="00B52041" w:rsidRDefault="00B52041" w:rsidP="00B52041">
            <w:pPr>
              <w:rPr>
                <w:rFonts w:eastAsia="Times New Roman" w:cs="Times New Roman"/>
                <w:b/>
                <w:bCs/>
                <w:color w:val="000000"/>
                <w:kern w:val="0"/>
                <w:sz w:val="20"/>
                <w:szCs w:val="20"/>
                <w:lang w:eastAsia="en-GB"/>
                <w14:ligatures w14:val="none"/>
              </w:rPr>
            </w:pPr>
            <w:r w:rsidRPr="00B52041">
              <w:rPr>
                <w:rFonts w:eastAsia="Times New Roman" w:cs="Times New Roman"/>
                <w:b/>
                <w:bCs/>
                <w:color w:val="000000"/>
                <w:kern w:val="0"/>
                <w:sz w:val="20"/>
                <w:szCs w:val="20"/>
                <w:lang w:eastAsia="en-GB"/>
                <w14:ligatures w14:val="none"/>
              </w:rPr>
              <w:t>Business Solutions Capital Projects</w:t>
            </w:r>
          </w:p>
        </w:tc>
        <w:tc>
          <w:tcPr>
            <w:tcW w:w="1140" w:type="dxa"/>
            <w:tcBorders>
              <w:top w:val="single" w:sz="12" w:space="0" w:color="auto"/>
              <w:left w:val="nil"/>
              <w:bottom w:val="single" w:sz="4" w:space="0" w:color="auto"/>
              <w:right w:val="single" w:sz="12" w:space="0" w:color="auto"/>
            </w:tcBorders>
            <w:noWrap/>
            <w:vAlign w:val="bottom"/>
            <w:hideMark/>
          </w:tcPr>
          <w:p w14:paraId="1E3BA965" w14:textId="77777777"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 </w:t>
            </w:r>
          </w:p>
        </w:tc>
      </w:tr>
      <w:tr w:rsidR="00B52041" w:rsidRPr="00B52041" w14:paraId="1AC03454" w14:textId="77777777" w:rsidTr="00057CB5">
        <w:trPr>
          <w:trHeight w:val="30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7A7BB9A5" w14:textId="143AA67E" w:rsidR="00B52041" w:rsidRPr="00B52041" w:rsidRDefault="00B3075D" w:rsidP="00B52041">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 xml:space="preserve">SHDF </w:t>
            </w:r>
            <w:r w:rsidR="000C3939">
              <w:rPr>
                <w:rFonts w:eastAsia="Times New Roman" w:cs="Times New Roman"/>
                <w:color w:val="000000"/>
                <w:kern w:val="0"/>
                <w:sz w:val="20"/>
                <w:szCs w:val="20"/>
                <w:lang w:eastAsia="en-GB"/>
                <w14:ligatures w14:val="none"/>
              </w:rPr>
              <w:t>(</w:t>
            </w:r>
            <w:r w:rsidR="005F4128">
              <w:rPr>
                <w:rFonts w:eastAsia="Times New Roman" w:cs="Times New Roman"/>
                <w:color w:val="000000"/>
                <w:kern w:val="0"/>
                <w:sz w:val="20"/>
                <w:szCs w:val="20"/>
                <w:lang w:eastAsia="en-GB"/>
                <w14:ligatures w14:val="none"/>
              </w:rPr>
              <w:t xml:space="preserve">Social Housing Decarbonisation Fund) </w:t>
            </w:r>
            <w:r>
              <w:rPr>
                <w:rFonts w:eastAsia="Times New Roman" w:cs="Times New Roman"/>
                <w:color w:val="000000"/>
                <w:kern w:val="0"/>
                <w:sz w:val="20"/>
                <w:szCs w:val="20"/>
                <w:lang w:eastAsia="en-GB"/>
                <w14:ligatures w14:val="none"/>
              </w:rPr>
              <w:t>Wave 3</w:t>
            </w:r>
          </w:p>
        </w:tc>
        <w:tc>
          <w:tcPr>
            <w:tcW w:w="1140" w:type="dxa"/>
            <w:tcBorders>
              <w:top w:val="nil"/>
              <w:left w:val="nil"/>
              <w:bottom w:val="single" w:sz="4" w:space="0" w:color="auto"/>
              <w:right w:val="single" w:sz="12" w:space="0" w:color="auto"/>
            </w:tcBorders>
            <w:noWrap/>
            <w:vAlign w:val="bottom"/>
            <w:hideMark/>
          </w:tcPr>
          <w:p w14:paraId="778DECBE" w14:textId="025BDC85"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1</w:t>
            </w:r>
            <w:r w:rsidR="00EA5445">
              <w:rPr>
                <w:rFonts w:eastAsia="Times New Roman" w:cs="Times New Roman"/>
                <w:color w:val="000000"/>
                <w:kern w:val="0"/>
                <w:sz w:val="20"/>
                <w:szCs w:val="20"/>
                <w:lang w:eastAsia="en-GB"/>
                <w14:ligatures w14:val="none"/>
              </w:rPr>
              <w:t>5</w:t>
            </w:r>
            <w:r w:rsidRPr="00B52041">
              <w:rPr>
                <w:rFonts w:eastAsia="Times New Roman" w:cs="Times New Roman"/>
                <w:color w:val="000000"/>
                <w:kern w:val="0"/>
                <w:sz w:val="20"/>
                <w:szCs w:val="20"/>
                <w:lang w:eastAsia="en-GB"/>
                <w14:ligatures w14:val="none"/>
              </w:rPr>
              <w:t>,</w:t>
            </w:r>
            <w:r w:rsidR="00EA5445">
              <w:rPr>
                <w:rFonts w:eastAsia="Times New Roman" w:cs="Times New Roman"/>
                <w:color w:val="000000"/>
                <w:kern w:val="0"/>
                <w:sz w:val="20"/>
                <w:szCs w:val="20"/>
                <w:lang w:eastAsia="en-GB"/>
                <w14:ligatures w14:val="none"/>
              </w:rPr>
              <w:t>8</w:t>
            </w:r>
            <w:r w:rsidRPr="00B52041">
              <w:rPr>
                <w:rFonts w:eastAsia="Times New Roman" w:cs="Times New Roman"/>
                <w:color w:val="000000"/>
                <w:kern w:val="0"/>
                <w:sz w:val="20"/>
                <w:szCs w:val="20"/>
                <w:lang w:eastAsia="en-GB"/>
                <w14:ligatures w14:val="none"/>
              </w:rPr>
              <w:t>08</w:t>
            </w:r>
          </w:p>
        </w:tc>
      </w:tr>
      <w:tr w:rsidR="009F3BCF" w:rsidRPr="00B52041" w14:paraId="207F9F63" w14:textId="77777777" w:rsidTr="00057CB5">
        <w:trPr>
          <w:trHeight w:val="300"/>
        </w:trPr>
        <w:tc>
          <w:tcPr>
            <w:tcW w:w="6280" w:type="dxa"/>
            <w:tcBorders>
              <w:top w:val="nil"/>
              <w:left w:val="single" w:sz="12" w:space="0" w:color="auto"/>
              <w:bottom w:val="single" w:sz="4" w:space="0" w:color="auto"/>
              <w:right w:val="single" w:sz="12" w:space="0" w:color="auto"/>
            </w:tcBorders>
            <w:shd w:val="clear" w:color="auto" w:fill="E8E8E8"/>
            <w:vAlign w:val="bottom"/>
          </w:tcPr>
          <w:p w14:paraId="039EC34F" w14:textId="17C077A6" w:rsidR="009F3BCF" w:rsidRPr="00B52041" w:rsidRDefault="004F2545" w:rsidP="00B52041">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Place Based</w:t>
            </w:r>
            <w:r w:rsidR="00AB5789">
              <w:rPr>
                <w:rFonts w:eastAsia="Times New Roman" w:cs="Times New Roman"/>
                <w:color w:val="000000"/>
                <w:kern w:val="0"/>
                <w:sz w:val="20"/>
                <w:szCs w:val="20"/>
                <w:lang w:eastAsia="en-GB"/>
                <w14:ligatures w14:val="none"/>
              </w:rPr>
              <w:t xml:space="preserve"> Investment Fund- Billingham</w:t>
            </w:r>
          </w:p>
        </w:tc>
        <w:tc>
          <w:tcPr>
            <w:tcW w:w="1140" w:type="dxa"/>
            <w:tcBorders>
              <w:top w:val="nil"/>
              <w:left w:val="nil"/>
              <w:bottom w:val="single" w:sz="4" w:space="0" w:color="auto"/>
              <w:right w:val="single" w:sz="12" w:space="0" w:color="auto"/>
            </w:tcBorders>
            <w:noWrap/>
            <w:vAlign w:val="bottom"/>
          </w:tcPr>
          <w:p w14:paraId="7CB75688" w14:textId="5EB774AF" w:rsidR="009F3BCF" w:rsidRPr="00B52041" w:rsidRDefault="00424098" w:rsidP="0090661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1,500</w:t>
            </w:r>
          </w:p>
        </w:tc>
      </w:tr>
      <w:tr w:rsidR="009F3BCF" w:rsidRPr="00B52041" w14:paraId="6B8E7FB5" w14:textId="77777777" w:rsidTr="00057CB5">
        <w:trPr>
          <w:trHeight w:val="300"/>
        </w:trPr>
        <w:tc>
          <w:tcPr>
            <w:tcW w:w="6280" w:type="dxa"/>
            <w:tcBorders>
              <w:top w:val="nil"/>
              <w:left w:val="single" w:sz="12" w:space="0" w:color="auto"/>
              <w:bottom w:val="single" w:sz="4" w:space="0" w:color="auto"/>
              <w:right w:val="single" w:sz="12" w:space="0" w:color="auto"/>
            </w:tcBorders>
            <w:shd w:val="clear" w:color="auto" w:fill="E8E8E8"/>
            <w:vAlign w:val="bottom"/>
          </w:tcPr>
          <w:p w14:paraId="010C490B" w14:textId="3A94F045" w:rsidR="009F3BCF" w:rsidRPr="00B52041" w:rsidRDefault="00763C98" w:rsidP="00B52041">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 xml:space="preserve">Place Based Investment Fund- </w:t>
            </w:r>
            <w:r w:rsidR="000D6C8A">
              <w:rPr>
                <w:rFonts w:eastAsia="Times New Roman" w:cs="Times New Roman"/>
                <w:color w:val="000000"/>
                <w:kern w:val="0"/>
                <w:sz w:val="20"/>
                <w:szCs w:val="20"/>
                <w:lang w:eastAsia="en-GB"/>
                <w14:ligatures w14:val="none"/>
              </w:rPr>
              <w:t>Darlington</w:t>
            </w:r>
          </w:p>
        </w:tc>
        <w:tc>
          <w:tcPr>
            <w:tcW w:w="1140" w:type="dxa"/>
            <w:tcBorders>
              <w:top w:val="nil"/>
              <w:left w:val="nil"/>
              <w:bottom w:val="single" w:sz="4" w:space="0" w:color="auto"/>
              <w:right w:val="single" w:sz="12" w:space="0" w:color="auto"/>
            </w:tcBorders>
            <w:noWrap/>
            <w:vAlign w:val="bottom"/>
          </w:tcPr>
          <w:p w14:paraId="4F5ADAF3" w14:textId="483D92B6" w:rsidR="009F3BCF" w:rsidRPr="00B52041" w:rsidRDefault="000D6C8A" w:rsidP="00906610">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2,000</w:t>
            </w:r>
          </w:p>
        </w:tc>
      </w:tr>
      <w:tr w:rsidR="00B52041" w:rsidRPr="00B52041" w14:paraId="63043D30" w14:textId="77777777" w:rsidTr="00057CB5">
        <w:trPr>
          <w:trHeight w:val="310"/>
        </w:trPr>
        <w:tc>
          <w:tcPr>
            <w:tcW w:w="628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AA4455E" w14:textId="77777777" w:rsidR="00B52041" w:rsidRPr="00B52041" w:rsidRDefault="00B52041" w:rsidP="00B52041">
            <w:pPr>
              <w:rPr>
                <w:rFonts w:eastAsia="Times New Roman" w:cs="Times New Roman"/>
                <w:b/>
                <w:bCs/>
                <w:color w:val="000000"/>
                <w:kern w:val="0"/>
                <w:sz w:val="20"/>
                <w:szCs w:val="20"/>
                <w:lang w:eastAsia="en-GB"/>
                <w14:ligatures w14:val="none"/>
              </w:rPr>
            </w:pPr>
            <w:r w:rsidRPr="00B52041">
              <w:rPr>
                <w:rFonts w:eastAsia="Times New Roman" w:cs="Times New Roman"/>
                <w:b/>
                <w:bCs/>
                <w:color w:val="000000"/>
                <w:kern w:val="0"/>
                <w:sz w:val="20"/>
                <w:szCs w:val="20"/>
                <w:lang w:eastAsia="en-GB"/>
                <w14:ligatures w14:val="none"/>
              </w:rPr>
              <w:t>Business Solutions Total</w:t>
            </w:r>
          </w:p>
        </w:tc>
        <w:tc>
          <w:tcPr>
            <w:tcW w:w="1140" w:type="dxa"/>
            <w:tcBorders>
              <w:top w:val="single" w:sz="12" w:space="0" w:color="auto"/>
              <w:left w:val="nil"/>
              <w:bottom w:val="single" w:sz="12" w:space="0" w:color="auto"/>
              <w:right w:val="single" w:sz="12" w:space="0" w:color="auto"/>
            </w:tcBorders>
            <w:shd w:val="clear" w:color="auto" w:fill="E8E8E8"/>
            <w:noWrap/>
            <w:vAlign w:val="bottom"/>
            <w:hideMark/>
          </w:tcPr>
          <w:p w14:paraId="6B061298" w14:textId="5F933375"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19,308</w:t>
            </w:r>
          </w:p>
        </w:tc>
      </w:tr>
      <w:tr w:rsidR="00B52041" w:rsidRPr="00B52041" w14:paraId="44AD05DA" w14:textId="77777777" w:rsidTr="00057CB5">
        <w:trPr>
          <w:trHeight w:val="300"/>
        </w:trPr>
        <w:tc>
          <w:tcPr>
            <w:tcW w:w="6280"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34AC50E6" w14:textId="77777777" w:rsidR="00B52041" w:rsidRPr="00B52041" w:rsidRDefault="00B52041" w:rsidP="00B52041">
            <w:pPr>
              <w:rPr>
                <w:rFonts w:eastAsia="Times New Roman" w:cs="Times New Roman"/>
                <w:b/>
                <w:bCs/>
                <w:color w:val="000000"/>
                <w:kern w:val="0"/>
                <w:sz w:val="20"/>
                <w:szCs w:val="20"/>
                <w:lang w:eastAsia="en-GB"/>
                <w14:ligatures w14:val="none"/>
              </w:rPr>
            </w:pPr>
            <w:r w:rsidRPr="00B52041">
              <w:rPr>
                <w:rFonts w:eastAsia="Times New Roman" w:cs="Times New Roman"/>
                <w:b/>
                <w:bCs/>
                <w:color w:val="000000"/>
                <w:kern w:val="0"/>
                <w:sz w:val="20"/>
                <w:szCs w:val="20"/>
                <w:lang w:eastAsia="en-GB"/>
                <w14:ligatures w14:val="none"/>
              </w:rPr>
              <w:t>Inward Marketing and Investment Capital Projects</w:t>
            </w:r>
          </w:p>
        </w:tc>
        <w:tc>
          <w:tcPr>
            <w:tcW w:w="1140" w:type="dxa"/>
            <w:tcBorders>
              <w:top w:val="single" w:sz="4" w:space="0" w:color="auto"/>
              <w:left w:val="nil"/>
              <w:bottom w:val="single" w:sz="4" w:space="0" w:color="auto"/>
              <w:right w:val="single" w:sz="12" w:space="0" w:color="auto"/>
            </w:tcBorders>
            <w:noWrap/>
            <w:vAlign w:val="bottom"/>
            <w:hideMark/>
          </w:tcPr>
          <w:p w14:paraId="51A86810" w14:textId="2D2A0B10" w:rsidR="00B52041" w:rsidRPr="00B52041" w:rsidRDefault="00B52041" w:rsidP="00906610">
            <w:pPr>
              <w:jc w:val="right"/>
              <w:rPr>
                <w:rFonts w:eastAsia="Times New Roman" w:cs="Times New Roman"/>
                <w:color w:val="000000"/>
                <w:kern w:val="0"/>
                <w:sz w:val="20"/>
                <w:szCs w:val="20"/>
                <w:lang w:eastAsia="en-GB"/>
                <w14:ligatures w14:val="none"/>
              </w:rPr>
            </w:pPr>
          </w:p>
        </w:tc>
      </w:tr>
      <w:tr w:rsidR="00B52041" w:rsidRPr="00B52041" w14:paraId="7AC173D8" w14:textId="77777777" w:rsidTr="00057CB5">
        <w:trPr>
          <w:trHeight w:val="30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20F78E2F" w14:textId="61032D08"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lastRenderedPageBreak/>
              <w:t xml:space="preserve">STDC </w:t>
            </w:r>
            <w:r w:rsidR="00012EDA">
              <w:rPr>
                <w:rFonts w:eastAsia="Times New Roman" w:cs="Times New Roman"/>
                <w:color w:val="000000"/>
                <w:kern w:val="0"/>
                <w:sz w:val="20"/>
                <w:szCs w:val="20"/>
                <w:lang w:eastAsia="en-GB"/>
                <w14:ligatures w14:val="none"/>
              </w:rPr>
              <w:t>Inve</w:t>
            </w:r>
            <w:r w:rsidR="003939CD">
              <w:rPr>
                <w:rFonts w:eastAsia="Times New Roman" w:cs="Times New Roman"/>
                <w:color w:val="000000"/>
                <w:kern w:val="0"/>
                <w:sz w:val="20"/>
                <w:szCs w:val="20"/>
                <w:lang w:eastAsia="en-GB"/>
                <w14:ligatures w14:val="none"/>
              </w:rPr>
              <w:t>stment</w:t>
            </w:r>
          </w:p>
        </w:tc>
        <w:tc>
          <w:tcPr>
            <w:tcW w:w="1140" w:type="dxa"/>
            <w:tcBorders>
              <w:top w:val="nil"/>
              <w:left w:val="nil"/>
              <w:bottom w:val="single" w:sz="4" w:space="0" w:color="auto"/>
              <w:right w:val="single" w:sz="12" w:space="0" w:color="auto"/>
            </w:tcBorders>
            <w:noWrap/>
            <w:vAlign w:val="bottom"/>
            <w:hideMark/>
          </w:tcPr>
          <w:p w14:paraId="541668DB" w14:textId="5E576A96" w:rsidR="00B52041" w:rsidRPr="00B52041" w:rsidRDefault="003939CD"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6,327</w:t>
            </w:r>
          </w:p>
        </w:tc>
      </w:tr>
      <w:tr w:rsidR="00B52041" w:rsidRPr="00B52041" w14:paraId="56F80DCF" w14:textId="77777777" w:rsidTr="00057CB5">
        <w:trPr>
          <w:trHeight w:val="310"/>
        </w:trPr>
        <w:tc>
          <w:tcPr>
            <w:tcW w:w="628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6A8620F3" w14:textId="77777777" w:rsidR="00B52041" w:rsidRPr="00B52041" w:rsidRDefault="00B52041" w:rsidP="00B52041">
            <w:pPr>
              <w:rPr>
                <w:rFonts w:eastAsia="Times New Roman" w:cs="Times New Roman"/>
                <w:b/>
                <w:bCs/>
                <w:color w:val="000000"/>
                <w:kern w:val="0"/>
                <w:sz w:val="20"/>
                <w:szCs w:val="20"/>
                <w:lang w:eastAsia="en-GB"/>
                <w14:ligatures w14:val="none"/>
              </w:rPr>
            </w:pPr>
            <w:r w:rsidRPr="00B52041">
              <w:rPr>
                <w:rFonts w:eastAsia="Times New Roman" w:cs="Times New Roman"/>
                <w:b/>
                <w:bCs/>
                <w:color w:val="000000"/>
                <w:kern w:val="0"/>
                <w:sz w:val="20"/>
                <w:szCs w:val="20"/>
                <w:lang w:eastAsia="en-GB"/>
                <w14:ligatures w14:val="none"/>
              </w:rPr>
              <w:t>Inward Marketing and Investment Total</w:t>
            </w:r>
          </w:p>
        </w:tc>
        <w:tc>
          <w:tcPr>
            <w:tcW w:w="1140" w:type="dxa"/>
            <w:tcBorders>
              <w:top w:val="single" w:sz="12" w:space="0" w:color="auto"/>
              <w:left w:val="nil"/>
              <w:bottom w:val="single" w:sz="12" w:space="0" w:color="auto"/>
              <w:right w:val="single" w:sz="12" w:space="0" w:color="auto"/>
            </w:tcBorders>
            <w:shd w:val="clear" w:color="auto" w:fill="E8E8E8"/>
            <w:noWrap/>
            <w:vAlign w:val="bottom"/>
            <w:hideMark/>
          </w:tcPr>
          <w:p w14:paraId="36AAF14E" w14:textId="3D761CFA"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6,327</w:t>
            </w:r>
          </w:p>
        </w:tc>
      </w:tr>
      <w:tr w:rsidR="00B52041" w:rsidRPr="00B52041" w14:paraId="74F4AE21" w14:textId="77777777" w:rsidTr="00057CB5">
        <w:trPr>
          <w:trHeight w:val="300"/>
        </w:trPr>
        <w:tc>
          <w:tcPr>
            <w:tcW w:w="6280"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05369B30" w14:textId="77777777" w:rsidR="00B52041" w:rsidRPr="00B52041" w:rsidRDefault="00B52041" w:rsidP="00B52041">
            <w:pPr>
              <w:rPr>
                <w:rFonts w:eastAsia="Times New Roman" w:cs="Times New Roman"/>
                <w:b/>
                <w:bCs/>
                <w:color w:val="000000"/>
                <w:kern w:val="0"/>
                <w:sz w:val="20"/>
                <w:szCs w:val="20"/>
                <w:lang w:eastAsia="en-GB"/>
                <w14:ligatures w14:val="none"/>
              </w:rPr>
            </w:pPr>
            <w:r w:rsidRPr="00B52041">
              <w:rPr>
                <w:rFonts w:eastAsia="Times New Roman" w:cs="Times New Roman"/>
                <w:b/>
                <w:bCs/>
                <w:color w:val="000000"/>
                <w:kern w:val="0"/>
                <w:sz w:val="20"/>
                <w:szCs w:val="20"/>
                <w:lang w:eastAsia="en-GB"/>
                <w14:ligatures w14:val="none"/>
              </w:rPr>
              <w:t>Transport Capital Projects</w:t>
            </w:r>
          </w:p>
        </w:tc>
        <w:tc>
          <w:tcPr>
            <w:tcW w:w="1140" w:type="dxa"/>
            <w:tcBorders>
              <w:top w:val="single" w:sz="4" w:space="0" w:color="auto"/>
              <w:left w:val="nil"/>
              <w:bottom w:val="single" w:sz="4" w:space="0" w:color="auto"/>
              <w:right w:val="single" w:sz="12" w:space="0" w:color="auto"/>
            </w:tcBorders>
            <w:noWrap/>
            <w:vAlign w:val="bottom"/>
            <w:hideMark/>
          </w:tcPr>
          <w:p w14:paraId="1AEC43E0" w14:textId="77426D5F" w:rsidR="00B52041" w:rsidRPr="00B52041" w:rsidRDefault="00B52041" w:rsidP="00906610">
            <w:pPr>
              <w:jc w:val="right"/>
              <w:rPr>
                <w:rFonts w:eastAsia="Times New Roman" w:cs="Times New Roman"/>
                <w:color w:val="000000"/>
                <w:kern w:val="0"/>
                <w:sz w:val="20"/>
                <w:szCs w:val="20"/>
                <w:lang w:eastAsia="en-GB"/>
                <w14:ligatures w14:val="none"/>
              </w:rPr>
            </w:pPr>
          </w:p>
        </w:tc>
      </w:tr>
      <w:tr w:rsidR="00B52041" w:rsidRPr="00B52041" w14:paraId="0A26C814" w14:textId="77777777" w:rsidTr="00057CB5">
        <w:trPr>
          <w:trHeight w:val="29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69C92C4F" w14:textId="77777777"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Access to Opportunity</w:t>
            </w:r>
          </w:p>
        </w:tc>
        <w:tc>
          <w:tcPr>
            <w:tcW w:w="1140" w:type="dxa"/>
            <w:tcBorders>
              <w:top w:val="nil"/>
              <w:left w:val="nil"/>
              <w:bottom w:val="single" w:sz="4" w:space="0" w:color="auto"/>
              <w:right w:val="single" w:sz="12" w:space="0" w:color="auto"/>
            </w:tcBorders>
            <w:noWrap/>
            <w:vAlign w:val="bottom"/>
            <w:hideMark/>
          </w:tcPr>
          <w:p w14:paraId="65B5CA82" w14:textId="726179DE"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1,750</w:t>
            </w:r>
          </w:p>
        </w:tc>
      </w:tr>
      <w:tr w:rsidR="00B52041" w:rsidRPr="00B52041" w14:paraId="63A234F5" w14:textId="77777777" w:rsidTr="00057CB5">
        <w:trPr>
          <w:trHeight w:val="29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0CD65B7E" w14:textId="77777777"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Active Travel</w:t>
            </w:r>
          </w:p>
        </w:tc>
        <w:tc>
          <w:tcPr>
            <w:tcW w:w="1140" w:type="dxa"/>
            <w:tcBorders>
              <w:top w:val="nil"/>
              <w:left w:val="nil"/>
              <w:bottom w:val="single" w:sz="4" w:space="0" w:color="auto"/>
              <w:right w:val="single" w:sz="12" w:space="0" w:color="auto"/>
            </w:tcBorders>
            <w:noWrap/>
            <w:vAlign w:val="bottom"/>
            <w:hideMark/>
          </w:tcPr>
          <w:p w14:paraId="1680BB68" w14:textId="4276CD6F"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30,69</w:t>
            </w:r>
            <w:r w:rsidR="003B604D">
              <w:rPr>
                <w:rFonts w:eastAsia="Times New Roman" w:cs="Times New Roman"/>
                <w:color w:val="000000"/>
                <w:kern w:val="0"/>
                <w:sz w:val="20"/>
                <w:szCs w:val="20"/>
                <w:lang w:eastAsia="en-GB"/>
                <w14:ligatures w14:val="none"/>
              </w:rPr>
              <w:t>5</w:t>
            </w:r>
          </w:p>
        </w:tc>
      </w:tr>
      <w:tr w:rsidR="00B52041" w:rsidRPr="00B52041" w14:paraId="69941BF7" w14:textId="77777777" w:rsidTr="00057CB5">
        <w:trPr>
          <w:trHeight w:val="29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60D69356" w14:textId="77777777"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Bus</w:t>
            </w:r>
          </w:p>
        </w:tc>
        <w:tc>
          <w:tcPr>
            <w:tcW w:w="1140" w:type="dxa"/>
            <w:tcBorders>
              <w:top w:val="nil"/>
              <w:left w:val="nil"/>
              <w:bottom w:val="single" w:sz="4" w:space="0" w:color="auto"/>
              <w:right w:val="single" w:sz="12" w:space="0" w:color="auto"/>
            </w:tcBorders>
            <w:noWrap/>
            <w:vAlign w:val="bottom"/>
            <w:hideMark/>
          </w:tcPr>
          <w:p w14:paraId="22DF3F82" w14:textId="3B57925E"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26,849</w:t>
            </w:r>
          </w:p>
        </w:tc>
      </w:tr>
      <w:tr w:rsidR="00B52041" w:rsidRPr="00B52041" w14:paraId="5F19200B" w14:textId="77777777" w:rsidTr="00057CB5">
        <w:trPr>
          <w:trHeight w:val="29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7201C658" w14:textId="77777777"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Decarbonisation</w:t>
            </w:r>
          </w:p>
        </w:tc>
        <w:tc>
          <w:tcPr>
            <w:tcW w:w="1140" w:type="dxa"/>
            <w:tcBorders>
              <w:top w:val="nil"/>
              <w:left w:val="nil"/>
              <w:bottom w:val="single" w:sz="4" w:space="0" w:color="auto"/>
              <w:right w:val="single" w:sz="12" w:space="0" w:color="auto"/>
            </w:tcBorders>
            <w:noWrap/>
            <w:vAlign w:val="bottom"/>
            <w:hideMark/>
          </w:tcPr>
          <w:p w14:paraId="49230239" w14:textId="483B4F9A"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925</w:t>
            </w:r>
          </w:p>
        </w:tc>
      </w:tr>
      <w:tr w:rsidR="00B52041" w:rsidRPr="00B52041" w14:paraId="50E27864" w14:textId="77777777" w:rsidTr="00057CB5">
        <w:trPr>
          <w:trHeight w:val="29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61EF2FF1" w14:textId="77777777"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Digital</w:t>
            </w:r>
          </w:p>
        </w:tc>
        <w:tc>
          <w:tcPr>
            <w:tcW w:w="1140" w:type="dxa"/>
            <w:tcBorders>
              <w:top w:val="nil"/>
              <w:left w:val="nil"/>
              <w:bottom w:val="single" w:sz="4" w:space="0" w:color="auto"/>
              <w:right w:val="single" w:sz="12" w:space="0" w:color="auto"/>
            </w:tcBorders>
            <w:noWrap/>
            <w:vAlign w:val="bottom"/>
            <w:hideMark/>
          </w:tcPr>
          <w:p w14:paraId="300F2A9C" w14:textId="2D5721A7"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3,812</w:t>
            </w:r>
          </w:p>
        </w:tc>
      </w:tr>
      <w:tr w:rsidR="00B52041" w:rsidRPr="00B52041" w14:paraId="6A73C701" w14:textId="77777777" w:rsidTr="00057CB5">
        <w:trPr>
          <w:trHeight w:val="29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1B316661" w14:textId="77777777"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Local Highways</w:t>
            </w:r>
          </w:p>
        </w:tc>
        <w:tc>
          <w:tcPr>
            <w:tcW w:w="1140" w:type="dxa"/>
            <w:tcBorders>
              <w:top w:val="nil"/>
              <w:left w:val="nil"/>
              <w:bottom w:val="single" w:sz="4" w:space="0" w:color="auto"/>
              <w:right w:val="single" w:sz="12" w:space="0" w:color="auto"/>
            </w:tcBorders>
            <w:noWrap/>
            <w:vAlign w:val="bottom"/>
            <w:hideMark/>
          </w:tcPr>
          <w:p w14:paraId="513146BE" w14:textId="728AA3A5"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16,578</w:t>
            </w:r>
          </w:p>
        </w:tc>
      </w:tr>
      <w:tr w:rsidR="00B52041" w:rsidRPr="00B52041" w14:paraId="39B5589E" w14:textId="77777777" w:rsidTr="00057CB5">
        <w:trPr>
          <w:trHeight w:val="29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76A66559" w14:textId="77777777"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Place Based Transport Investment</w:t>
            </w:r>
          </w:p>
        </w:tc>
        <w:tc>
          <w:tcPr>
            <w:tcW w:w="1140" w:type="dxa"/>
            <w:tcBorders>
              <w:top w:val="nil"/>
              <w:left w:val="nil"/>
              <w:bottom w:val="single" w:sz="4" w:space="0" w:color="auto"/>
              <w:right w:val="single" w:sz="12" w:space="0" w:color="auto"/>
            </w:tcBorders>
            <w:noWrap/>
            <w:vAlign w:val="bottom"/>
            <w:hideMark/>
          </w:tcPr>
          <w:p w14:paraId="688B0E6D" w14:textId="259CF54D"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14,750</w:t>
            </w:r>
          </w:p>
        </w:tc>
      </w:tr>
      <w:tr w:rsidR="00B52041" w:rsidRPr="00B52041" w14:paraId="5C974AC5" w14:textId="77777777" w:rsidTr="00057CB5">
        <w:trPr>
          <w:trHeight w:val="300"/>
        </w:trPr>
        <w:tc>
          <w:tcPr>
            <w:tcW w:w="6280" w:type="dxa"/>
            <w:tcBorders>
              <w:top w:val="nil"/>
              <w:left w:val="single" w:sz="12" w:space="0" w:color="auto"/>
              <w:bottom w:val="single" w:sz="4" w:space="0" w:color="auto"/>
              <w:right w:val="single" w:sz="12" w:space="0" w:color="auto"/>
            </w:tcBorders>
            <w:shd w:val="clear" w:color="auto" w:fill="E8E8E8"/>
            <w:vAlign w:val="bottom"/>
            <w:hideMark/>
          </w:tcPr>
          <w:p w14:paraId="7D158A40" w14:textId="77777777" w:rsidR="00B52041" w:rsidRPr="00B52041" w:rsidRDefault="00B52041" w:rsidP="00B52041">
            <w:pPr>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Rail Improvements</w:t>
            </w:r>
          </w:p>
        </w:tc>
        <w:tc>
          <w:tcPr>
            <w:tcW w:w="1140" w:type="dxa"/>
            <w:tcBorders>
              <w:top w:val="nil"/>
              <w:left w:val="nil"/>
              <w:bottom w:val="single" w:sz="4" w:space="0" w:color="auto"/>
              <w:right w:val="single" w:sz="12" w:space="0" w:color="auto"/>
            </w:tcBorders>
            <w:noWrap/>
            <w:vAlign w:val="bottom"/>
            <w:hideMark/>
          </w:tcPr>
          <w:p w14:paraId="3E65A5D2" w14:textId="782515E4" w:rsidR="00B52041" w:rsidRP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55,720</w:t>
            </w:r>
          </w:p>
        </w:tc>
      </w:tr>
      <w:tr w:rsidR="00B52041" w:rsidRPr="00B52041" w14:paraId="022E47EE" w14:textId="77777777" w:rsidTr="00057CB5">
        <w:trPr>
          <w:trHeight w:val="310"/>
        </w:trPr>
        <w:tc>
          <w:tcPr>
            <w:tcW w:w="628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31C4D78" w14:textId="77777777" w:rsidR="00B52041" w:rsidRPr="00B52041" w:rsidRDefault="00B52041" w:rsidP="00B52041">
            <w:pPr>
              <w:rPr>
                <w:rFonts w:eastAsia="Times New Roman" w:cs="Times New Roman"/>
                <w:b/>
                <w:bCs/>
                <w:color w:val="000000"/>
                <w:kern w:val="0"/>
                <w:sz w:val="20"/>
                <w:szCs w:val="20"/>
                <w:lang w:eastAsia="en-GB"/>
                <w14:ligatures w14:val="none"/>
              </w:rPr>
            </w:pPr>
            <w:r w:rsidRPr="00B52041">
              <w:rPr>
                <w:rFonts w:eastAsia="Times New Roman" w:cs="Times New Roman"/>
                <w:b/>
                <w:bCs/>
                <w:color w:val="000000"/>
                <w:kern w:val="0"/>
                <w:sz w:val="20"/>
                <w:szCs w:val="20"/>
                <w:lang w:eastAsia="en-GB"/>
                <w14:ligatures w14:val="none"/>
              </w:rPr>
              <w:t>Transport Total</w:t>
            </w:r>
          </w:p>
        </w:tc>
        <w:tc>
          <w:tcPr>
            <w:tcW w:w="1140" w:type="dxa"/>
            <w:tcBorders>
              <w:top w:val="single" w:sz="12" w:space="0" w:color="auto"/>
              <w:left w:val="nil"/>
              <w:bottom w:val="single" w:sz="12" w:space="0" w:color="auto"/>
              <w:right w:val="single" w:sz="12" w:space="0" w:color="auto"/>
            </w:tcBorders>
            <w:shd w:val="clear" w:color="auto" w:fill="E8E8E8"/>
            <w:noWrap/>
            <w:vAlign w:val="bottom"/>
            <w:hideMark/>
          </w:tcPr>
          <w:p w14:paraId="6650D568" w14:textId="77777777" w:rsidR="00B52041" w:rsidRDefault="00B52041" w:rsidP="00906610">
            <w:pPr>
              <w:jc w:val="right"/>
              <w:rPr>
                <w:rFonts w:eastAsia="Times New Roman" w:cs="Times New Roman"/>
                <w:color w:val="000000"/>
                <w:kern w:val="0"/>
                <w:sz w:val="20"/>
                <w:szCs w:val="20"/>
                <w:lang w:eastAsia="en-GB"/>
                <w14:ligatures w14:val="none"/>
              </w:rPr>
            </w:pPr>
            <w:r w:rsidRPr="00B52041">
              <w:rPr>
                <w:rFonts w:eastAsia="Times New Roman" w:cs="Times New Roman"/>
                <w:color w:val="000000"/>
                <w:kern w:val="0"/>
                <w:sz w:val="20"/>
                <w:szCs w:val="20"/>
                <w:lang w:eastAsia="en-GB"/>
                <w14:ligatures w14:val="none"/>
              </w:rPr>
              <w:t>151,07</w:t>
            </w:r>
            <w:r w:rsidR="009C0D9A">
              <w:rPr>
                <w:rFonts w:eastAsia="Times New Roman" w:cs="Times New Roman"/>
                <w:color w:val="000000"/>
                <w:kern w:val="0"/>
                <w:sz w:val="20"/>
                <w:szCs w:val="20"/>
                <w:lang w:eastAsia="en-GB"/>
                <w14:ligatures w14:val="none"/>
              </w:rPr>
              <w:t>9</w:t>
            </w:r>
          </w:p>
          <w:p w14:paraId="5FD4CFA1" w14:textId="0994DF22" w:rsidR="009C0D9A" w:rsidRPr="00B52041" w:rsidRDefault="009C0D9A" w:rsidP="00906610">
            <w:pPr>
              <w:jc w:val="right"/>
              <w:rPr>
                <w:rFonts w:eastAsia="Times New Roman" w:cs="Times New Roman"/>
                <w:color w:val="000000"/>
                <w:kern w:val="0"/>
                <w:sz w:val="20"/>
                <w:szCs w:val="20"/>
                <w:lang w:eastAsia="en-GB"/>
                <w14:ligatures w14:val="none"/>
              </w:rPr>
            </w:pPr>
          </w:p>
        </w:tc>
      </w:tr>
      <w:tr w:rsidR="00B52041" w:rsidRPr="00B52041" w14:paraId="538D0D3A" w14:textId="77777777" w:rsidTr="00057CB5">
        <w:trPr>
          <w:trHeight w:val="310"/>
        </w:trPr>
        <w:tc>
          <w:tcPr>
            <w:tcW w:w="6280" w:type="dxa"/>
            <w:tcBorders>
              <w:top w:val="nil"/>
              <w:left w:val="single" w:sz="12" w:space="0" w:color="auto"/>
              <w:bottom w:val="single" w:sz="12" w:space="0" w:color="auto"/>
              <w:right w:val="single" w:sz="12" w:space="0" w:color="auto"/>
            </w:tcBorders>
            <w:shd w:val="clear" w:color="auto" w:fill="E8E8E8"/>
            <w:noWrap/>
            <w:vAlign w:val="bottom"/>
            <w:hideMark/>
          </w:tcPr>
          <w:p w14:paraId="448A3347" w14:textId="6A0CC355" w:rsidR="00B52041" w:rsidRPr="00B52041" w:rsidRDefault="004C319A" w:rsidP="00B52041">
            <w:pP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Total Capital Projects</w:t>
            </w:r>
          </w:p>
        </w:tc>
        <w:tc>
          <w:tcPr>
            <w:tcW w:w="1140" w:type="dxa"/>
            <w:tcBorders>
              <w:top w:val="nil"/>
              <w:left w:val="nil"/>
              <w:bottom w:val="single" w:sz="12" w:space="0" w:color="auto"/>
              <w:right w:val="single" w:sz="12" w:space="0" w:color="auto"/>
            </w:tcBorders>
            <w:shd w:val="clear" w:color="auto" w:fill="E8E8E8"/>
            <w:noWrap/>
            <w:vAlign w:val="bottom"/>
            <w:hideMark/>
          </w:tcPr>
          <w:p w14:paraId="04DDFF05" w14:textId="3E2A285D" w:rsidR="00B52041" w:rsidRPr="00B52041" w:rsidRDefault="00B52041" w:rsidP="00906610">
            <w:pPr>
              <w:jc w:val="right"/>
              <w:rPr>
                <w:rFonts w:eastAsia="Times New Roman" w:cs="Times New Roman"/>
                <w:b/>
                <w:bCs/>
                <w:color w:val="000000"/>
                <w:kern w:val="0"/>
                <w:sz w:val="20"/>
                <w:szCs w:val="20"/>
                <w:lang w:eastAsia="en-GB"/>
                <w14:ligatures w14:val="none"/>
              </w:rPr>
            </w:pPr>
            <w:r w:rsidRPr="00B52041">
              <w:rPr>
                <w:rFonts w:eastAsia="Times New Roman" w:cs="Times New Roman"/>
                <w:b/>
                <w:bCs/>
                <w:color w:val="000000"/>
                <w:kern w:val="0"/>
                <w:sz w:val="20"/>
                <w:szCs w:val="20"/>
                <w:lang w:eastAsia="en-GB"/>
                <w14:ligatures w14:val="none"/>
              </w:rPr>
              <w:t>176,71</w:t>
            </w:r>
            <w:r w:rsidR="007E648B">
              <w:rPr>
                <w:rFonts w:eastAsia="Times New Roman" w:cs="Times New Roman"/>
                <w:b/>
                <w:bCs/>
                <w:color w:val="000000"/>
                <w:kern w:val="0"/>
                <w:sz w:val="20"/>
                <w:szCs w:val="20"/>
                <w:lang w:eastAsia="en-GB"/>
                <w14:ligatures w14:val="none"/>
              </w:rPr>
              <w:t>4</w:t>
            </w:r>
          </w:p>
        </w:tc>
      </w:tr>
      <w:tr w:rsidR="0016412B" w:rsidRPr="0016412B" w14:paraId="0D218E59" w14:textId="77777777" w:rsidTr="00057CB5">
        <w:trPr>
          <w:trHeight w:val="300"/>
        </w:trPr>
        <w:tc>
          <w:tcPr>
            <w:tcW w:w="6280" w:type="dxa"/>
            <w:tcBorders>
              <w:top w:val="single" w:sz="8" w:space="0" w:color="auto"/>
              <w:left w:val="single" w:sz="8" w:space="0" w:color="auto"/>
              <w:bottom w:val="single" w:sz="8" w:space="0" w:color="auto"/>
              <w:right w:val="single" w:sz="8" w:space="0" w:color="auto"/>
            </w:tcBorders>
            <w:shd w:val="clear" w:color="auto" w:fill="E8E8E8"/>
            <w:vAlign w:val="bottom"/>
            <w:hideMark/>
          </w:tcPr>
          <w:p w14:paraId="767EC95D" w14:textId="77777777" w:rsidR="0016412B" w:rsidRPr="0016412B" w:rsidRDefault="0016412B" w:rsidP="19A48CE5">
            <w:pPr>
              <w:jc w:val="center"/>
              <w:rPr>
                <w:rFonts w:eastAsia="Times New Roman" w:cs="Times New Roman"/>
                <w:b/>
                <w:bCs/>
                <w:color w:val="000000"/>
                <w:kern w:val="0"/>
                <w:sz w:val="20"/>
                <w:szCs w:val="20"/>
                <w:lang w:eastAsia="en-GB"/>
                <w14:ligatures w14:val="none"/>
              </w:rPr>
            </w:pPr>
            <w:r w:rsidRPr="0016412B">
              <w:rPr>
                <w:rFonts w:eastAsia="Times New Roman" w:cs="Times New Roman"/>
                <w:b/>
                <w:bCs/>
                <w:color w:val="000000"/>
                <w:kern w:val="0"/>
                <w:sz w:val="20"/>
                <w:szCs w:val="20"/>
                <w:lang w:eastAsia="en-GB"/>
                <w14:ligatures w14:val="none"/>
              </w:rPr>
              <w:t>Funded by-</w:t>
            </w:r>
          </w:p>
        </w:tc>
        <w:tc>
          <w:tcPr>
            <w:tcW w:w="1140" w:type="dxa"/>
            <w:tcBorders>
              <w:top w:val="single" w:sz="8" w:space="0" w:color="auto"/>
              <w:left w:val="nil"/>
              <w:bottom w:val="single" w:sz="8" w:space="0" w:color="auto"/>
              <w:right w:val="single" w:sz="8" w:space="0" w:color="auto"/>
            </w:tcBorders>
            <w:noWrap/>
            <w:vAlign w:val="bottom"/>
            <w:hideMark/>
          </w:tcPr>
          <w:p w14:paraId="78FFEC84" w14:textId="77777777" w:rsidR="0016412B" w:rsidRPr="0016412B" w:rsidRDefault="0016412B" w:rsidP="19A48CE5">
            <w:pPr>
              <w:jc w:val="center"/>
              <w:rPr>
                <w:rFonts w:eastAsia="Times New Roman" w:cs="Times New Roman"/>
                <w:b/>
                <w:bCs/>
                <w:color w:val="000000"/>
                <w:kern w:val="0"/>
                <w:sz w:val="20"/>
                <w:szCs w:val="20"/>
                <w:lang w:eastAsia="en-GB"/>
                <w14:ligatures w14:val="none"/>
              </w:rPr>
            </w:pPr>
            <w:r w:rsidRPr="0016412B">
              <w:rPr>
                <w:rFonts w:eastAsia="Times New Roman" w:cs="Times New Roman"/>
                <w:b/>
                <w:bCs/>
                <w:color w:val="000000"/>
                <w:kern w:val="0"/>
                <w:sz w:val="20"/>
                <w:szCs w:val="20"/>
                <w:lang w:eastAsia="en-GB"/>
                <w14:ligatures w14:val="none"/>
              </w:rPr>
              <w:t> </w:t>
            </w:r>
          </w:p>
        </w:tc>
      </w:tr>
      <w:tr w:rsidR="0016412B" w:rsidRPr="0016412B" w14:paraId="42DD15D9" w14:textId="77777777" w:rsidTr="00057CB5">
        <w:trPr>
          <w:trHeight w:val="290"/>
        </w:trPr>
        <w:tc>
          <w:tcPr>
            <w:tcW w:w="6280" w:type="dxa"/>
            <w:tcBorders>
              <w:top w:val="nil"/>
              <w:left w:val="single" w:sz="8" w:space="0" w:color="auto"/>
              <w:bottom w:val="single" w:sz="4" w:space="0" w:color="auto"/>
              <w:right w:val="single" w:sz="8" w:space="0" w:color="auto"/>
            </w:tcBorders>
            <w:shd w:val="clear" w:color="auto" w:fill="E8E8E8"/>
            <w:vAlign w:val="bottom"/>
            <w:hideMark/>
          </w:tcPr>
          <w:p w14:paraId="5B5EB2B0" w14:textId="77777777" w:rsidR="0016412B" w:rsidRPr="0016412B" w:rsidRDefault="0016412B" w:rsidP="0016412B">
            <w:pPr>
              <w:rPr>
                <w:rFonts w:eastAsia="Times New Roman" w:cs="Times New Roman"/>
                <w:b/>
                <w:bCs/>
                <w:color w:val="000000"/>
                <w:kern w:val="0"/>
                <w:sz w:val="20"/>
                <w:szCs w:val="20"/>
                <w:lang w:eastAsia="en-GB"/>
                <w14:ligatures w14:val="none"/>
              </w:rPr>
            </w:pPr>
            <w:r w:rsidRPr="0016412B">
              <w:rPr>
                <w:rFonts w:eastAsia="Times New Roman" w:cs="Times New Roman"/>
                <w:b/>
                <w:bCs/>
                <w:color w:val="000000"/>
                <w:kern w:val="0"/>
                <w:sz w:val="20"/>
                <w:szCs w:val="20"/>
                <w:lang w:eastAsia="en-GB"/>
                <w14:ligatures w14:val="none"/>
              </w:rPr>
              <w:t>Business Solutions Capital Projects</w:t>
            </w:r>
          </w:p>
        </w:tc>
        <w:tc>
          <w:tcPr>
            <w:tcW w:w="1140" w:type="dxa"/>
            <w:tcBorders>
              <w:top w:val="nil"/>
              <w:left w:val="nil"/>
              <w:bottom w:val="single" w:sz="4" w:space="0" w:color="auto"/>
              <w:right w:val="single" w:sz="8" w:space="0" w:color="auto"/>
            </w:tcBorders>
            <w:noWrap/>
            <w:vAlign w:val="bottom"/>
            <w:hideMark/>
          </w:tcPr>
          <w:p w14:paraId="5AF9F948" w14:textId="77777777" w:rsidR="0016412B" w:rsidRPr="0016412B" w:rsidRDefault="0016412B" w:rsidP="0016412B">
            <w:pPr>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 </w:t>
            </w:r>
          </w:p>
        </w:tc>
      </w:tr>
      <w:tr w:rsidR="0016412B" w:rsidRPr="0016412B" w14:paraId="63ADC810" w14:textId="77777777" w:rsidTr="00057CB5">
        <w:trPr>
          <w:trHeight w:val="300"/>
        </w:trPr>
        <w:tc>
          <w:tcPr>
            <w:tcW w:w="6280" w:type="dxa"/>
            <w:tcBorders>
              <w:top w:val="nil"/>
              <w:left w:val="single" w:sz="8" w:space="0" w:color="auto"/>
              <w:bottom w:val="single" w:sz="8" w:space="0" w:color="auto"/>
              <w:right w:val="single" w:sz="8" w:space="0" w:color="auto"/>
            </w:tcBorders>
            <w:shd w:val="clear" w:color="auto" w:fill="E8E8E8"/>
            <w:vAlign w:val="bottom"/>
          </w:tcPr>
          <w:p w14:paraId="369C05BE" w14:textId="5A35B2A8" w:rsidR="0016412B" w:rsidRPr="0016412B" w:rsidRDefault="00990C2A" w:rsidP="0016412B">
            <w:pPr>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DESNZ</w:t>
            </w:r>
            <w:r w:rsidR="00700ECF">
              <w:rPr>
                <w:rFonts w:eastAsia="Times New Roman" w:cs="Times New Roman"/>
                <w:color w:val="000000"/>
                <w:kern w:val="0"/>
                <w:sz w:val="20"/>
                <w:szCs w:val="20"/>
                <w:lang w:eastAsia="en-GB"/>
                <w14:ligatures w14:val="none"/>
              </w:rPr>
              <w:t xml:space="preserve"> Warm Homes Social Housing Fund Grant</w:t>
            </w:r>
          </w:p>
        </w:tc>
        <w:tc>
          <w:tcPr>
            <w:tcW w:w="1140" w:type="dxa"/>
            <w:tcBorders>
              <w:top w:val="nil"/>
              <w:left w:val="nil"/>
              <w:bottom w:val="single" w:sz="8" w:space="0" w:color="auto"/>
              <w:right w:val="single" w:sz="8" w:space="0" w:color="auto"/>
            </w:tcBorders>
            <w:noWrap/>
            <w:vAlign w:val="bottom"/>
          </w:tcPr>
          <w:p w14:paraId="1A9510AF" w14:textId="6A18887C" w:rsidR="0016412B" w:rsidRPr="0016412B" w:rsidRDefault="00F051AB" w:rsidP="0016412B">
            <w:pPr>
              <w:jc w:val="right"/>
              <w:rPr>
                <w:rFonts w:eastAsia="Times New Roman" w:cs="Times New Roman"/>
                <w:color w:val="000000"/>
                <w:kern w:val="0"/>
                <w:sz w:val="20"/>
                <w:szCs w:val="20"/>
                <w:lang w:eastAsia="en-GB"/>
                <w14:ligatures w14:val="none"/>
              </w:rPr>
            </w:pPr>
            <w:r>
              <w:rPr>
                <w:rFonts w:eastAsia="Times New Roman" w:cs="Times New Roman"/>
                <w:color w:val="000000"/>
                <w:kern w:val="0"/>
                <w:sz w:val="20"/>
                <w:szCs w:val="20"/>
                <w:lang w:eastAsia="en-GB"/>
                <w14:ligatures w14:val="none"/>
              </w:rPr>
              <w:t>(15,808)</w:t>
            </w:r>
          </w:p>
        </w:tc>
      </w:tr>
      <w:tr w:rsidR="0016412B" w:rsidRPr="0016412B" w14:paraId="56CD22A9" w14:textId="77777777" w:rsidTr="00057CB5">
        <w:trPr>
          <w:trHeight w:val="300"/>
        </w:trPr>
        <w:tc>
          <w:tcPr>
            <w:tcW w:w="6280" w:type="dxa"/>
            <w:tcBorders>
              <w:top w:val="nil"/>
              <w:left w:val="single" w:sz="8" w:space="0" w:color="auto"/>
              <w:bottom w:val="single" w:sz="12" w:space="0" w:color="auto"/>
              <w:right w:val="single" w:sz="12" w:space="0" w:color="auto"/>
            </w:tcBorders>
            <w:shd w:val="clear" w:color="auto" w:fill="E8E8E8"/>
            <w:noWrap/>
            <w:vAlign w:val="bottom"/>
            <w:hideMark/>
          </w:tcPr>
          <w:p w14:paraId="1CE0FA63" w14:textId="77777777" w:rsidR="0016412B" w:rsidRPr="0016412B" w:rsidRDefault="0016412B" w:rsidP="0016412B">
            <w:pPr>
              <w:rPr>
                <w:rFonts w:eastAsia="Times New Roman" w:cs="Times New Roman"/>
                <w:b/>
                <w:bCs/>
                <w:color w:val="000000"/>
                <w:kern w:val="0"/>
                <w:sz w:val="20"/>
                <w:szCs w:val="20"/>
                <w:lang w:eastAsia="en-GB"/>
                <w14:ligatures w14:val="none"/>
              </w:rPr>
            </w:pPr>
            <w:r w:rsidRPr="0016412B">
              <w:rPr>
                <w:rFonts w:eastAsia="Times New Roman" w:cs="Times New Roman"/>
                <w:b/>
                <w:bCs/>
                <w:color w:val="000000"/>
                <w:kern w:val="0"/>
                <w:sz w:val="20"/>
                <w:szCs w:val="20"/>
                <w:lang w:eastAsia="en-GB"/>
                <w14:ligatures w14:val="none"/>
              </w:rPr>
              <w:t>Business Solutions Total</w:t>
            </w:r>
          </w:p>
        </w:tc>
        <w:tc>
          <w:tcPr>
            <w:tcW w:w="1140" w:type="dxa"/>
            <w:tcBorders>
              <w:top w:val="nil"/>
              <w:left w:val="nil"/>
              <w:bottom w:val="single" w:sz="12" w:space="0" w:color="auto"/>
              <w:right w:val="single" w:sz="8" w:space="0" w:color="auto"/>
            </w:tcBorders>
            <w:shd w:val="clear" w:color="auto" w:fill="E8E8E8"/>
            <w:noWrap/>
            <w:vAlign w:val="bottom"/>
            <w:hideMark/>
          </w:tcPr>
          <w:p w14:paraId="7DF26301" w14:textId="0722DE68" w:rsidR="0016412B" w:rsidRPr="0016412B" w:rsidRDefault="0016412B" w:rsidP="0016412B">
            <w:pPr>
              <w:jc w:val="right"/>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(1</w:t>
            </w:r>
            <w:r w:rsidR="00F051AB">
              <w:rPr>
                <w:rFonts w:eastAsia="Times New Roman" w:cs="Times New Roman"/>
                <w:color w:val="000000"/>
                <w:kern w:val="0"/>
                <w:sz w:val="20"/>
                <w:szCs w:val="20"/>
                <w:lang w:eastAsia="en-GB"/>
                <w14:ligatures w14:val="none"/>
              </w:rPr>
              <w:t>5</w:t>
            </w:r>
            <w:r w:rsidRPr="0016412B">
              <w:rPr>
                <w:rFonts w:eastAsia="Times New Roman" w:cs="Times New Roman"/>
                <w:color w:val="000000"/>
                <w:kern w:val="0"/>
                <w:sz w:val="20"/>
                <w:szCs w:val="20"/>
                <w:lang w:eastAsia="en-GB"/>
                <w14:ligatures w14:val="none"/>
              </w:rPr>
              <w:t>,</w:t>
            </w:r>
            <w:r w:rsidR="00F051AB">
              <w:rPr>
                <w:rFonts w:eastAsia="Times New Roman" w:cs="Times New Roman"/>
                <w:color w:val="000000"/>
                <w:kern w:val="0"/>
                <w:sz w:val="20"/>
                <w:szCs w:val="20"/>
                <w:lang w:eastAsia="en-GB"/>
                <w14:ligatures w14:val="none"/>
              </w:rPr>
              <w:t>8</w:t>
            </w:r>
            <w:r w:rsidRPr="0016412B">
              <w:rPr>
                <w:rFonts w:eastAsia="Times New Roman" w:cs="Times New Roman"/>
                <w:color w:val="000000"/>
                <w:kern w:val="0"/>
                <w:sz w:val="20"/>
                <w:szCs w:val="20"/>
                <w:lang w:eastAsia="en-GB"/>
                <w14:ligatures w14:val="none"/>
              </w:rPr>
              <w:t xml:space="preserve">08) </w:t>
            </w:r>
          </w:p>
        </w:tc>
      </w:tr>
      <w:tr w:rsidR="0016412B" w:rsidRPr="0016412B" w14:paraId="4056CF1C" w14:textId="77777777" w:rsidTr="00057CB5">
        <w:trPr>
          <w:trHeight w:val="300"/>
        </w:trPr>
        <w:tc>
          <w:tcPr>
            <w:tcW w:w="6280" w:type="dxa"/>
            <w:tcBorders>
              <w:top w:val="single" w:sz="4" w:space="0" w:color="auto"/>
              <w:left w:val="single" w:sz="8" w:space="0" w:color="auto"/>
              <w:bottom w:val="single" w:sz="4" w:space="0" w:color="auto"/>
              <w:right w:val="single" w:sz="12" w:space="0" w:color="auto"/>
            </w:tcBorders>
            <w:shd w:val="clear" w:color="auto" w:fill="E8E8E8"/>
            <w:vAlign w:val="bottom"/>
            <w:hideMark/>
          </w:tcPr>
          <w:p w14:paraId="16B78CA2" w14:textId="77777777" w:rsidR="0016412B" w:rsidRPr="0016412B" w:rsidRDefault="0016412B" w:rsidP="0016412B">
            <w:pPr>
              <w:rPr>
                <w:rFonts w:eastAsia="Times New Roman" w:cs="Times New Roman"/>
                <w:b/>
                <w:bCs/>
                <w:color w:val="000000"/>
                <w:kern w:val="0"/>
                <w:sz w:val="20"/>
                <w:szCs w:val="20"/>
                <w:lang w:eastAsia="en-GB"/>
                <w14:ligatures w14:val="none"/>
              </w:rPr>
            </w:pPr>
            <w:r w:rsidRPr="0016412B">
              <w:rPr>
                <w:rFonts w:eastAsia="Times New Roman" w:cs="Times New Roman"/>
                <w:b/>
                <w:bCs/>
                <w:color w:val="000000"/>
                <w:kern w:val="0"/>
                <w:sz w:val="20"/>
                <w:szCs w:val="20"/>
                <w:lang w:eastAsia="en-GB"/>
                <w14:ligatures w14:val="none"/>
              </w:rPr>
              <w:t>Transport Capital Projects</w:t>
            </w:r>
          </w:p>
        </w:tc>
        <w:tc>
          <w:tcPr>
            <w:tcW w:w="1140" w:type="dxa"/>
            <w:tcBorders>
              <w:top w:val="single" w:sz="4" w:space="0" w:color="auto"/>
              <w:left w:val="nil"/>
              <w:bottom w:val="single" w:sz="4" w:space="0" w:color="auto"/>
              <w:right w:val="single" w:sz="8" w:space="0" w:color="auto"/>
            </w:tcBorders>
            <w:noWrap/>
            <w:vAlign w:val="bottom"/>
            <w:hideMark/>
          </w:tcPr>
          <w:p w14:paraId="1A9AD129" w14:textId="77777777" w:rsidR="0016412B" w:rsidRPr="0016412B" w:rsidRDefault="0016412B" w:rsidP="0016412B">
            <w:pPr>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 </w:t>
            </w:r>
          </w:p>
        </w:tc>
      </w:tr>
      <w:tr w:rsidR="0016412B" w:rsidRPr="0016412B" w14:paraId="301F08D1" w14:textId="77777777" w:rsidTr="00057CB5">
        <w:trPr>
          <w:trHeight w:val="290"/>
        </w:trPr>
        <w:tc>
          <w:tcPr>
            <w:tcW w:w="6280" w:type="dxa"/>
            <w:tcBorders>
              <w:top w:val="nil"/>
              <w:left w:val="single" w:sz="8" w:space="0" w:color="auto"/>
              <w:bottom w:val="single" w:sz="4" w:space="0" w:color="auto"/>
              <w:right w:val="single" w:sz="12" w:space="0" w:color="auto"/>
            </w:tcBorders>
            <w:shd w:val="clear" w:color="auto" w:fill="E8E8E8"/>
            <w:vAlign w:val="bottom"/>
            <w:hideMark/>
          </w:tcPr>
          <w:p w14:paraId="5D544E5F" w14:textId="77777777" w:rsidR="0016412B" w:rsidRPr="0016412B" w:rsidRDefault="0016412B" w:rsidP="0016412B">
            <w:pPr>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Department for Transport CRSTS Grant</w:t>
            </w:r>
          </w:p>
        </w:tc>
        <w:tc>
          <w:tcPr>
            <w:tcW w:w="1140" w:type="dxa"/>
            <w:tcBorders>
              <w:top w:val="nil"/>
              <w:left w:val="nil"/>
              <w:bottom w:val="single" w:sz="4" w:space="0" w:color="auto"/>
              <w:right w:val="single" w:sz="8" w:space="0" w:color="auto"/>
            </w:tcBorders>
            <w:noWrap/>
            <w:vAlign w:val="bottom"/>
            <w:hideMark/>
          </w:tcPr>
          <w:p w14:paraId="064F6D41" w14:textId="7D2BEB62" w:rsidR="0016412B" w:rsidRPr="0016412B" w:rsidRDefault="0016412B" w:rsidP="0016412B">
            <w:pPr>
              <w:jc w:val="right"/>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 xml:space="preserve">(62,426) </w:t>
            </w:r>
          </w:p>
        </w:tc>
      </w:tr>
      <w:tr w:rsidR="0016412B" w:rsidRPr="0016412B" w14:paraId="338E129A" w14:textId="77777777" w:rsidTr="00057CB5">
        <w:trPr>
          <w:trHeight w:val="290"/>
        </w:trPr>
        <w:tc>
          <w:tcPr>
            <w:tcW w:w="6280" w:type="dxa"/>
            <w:tcBorders>
              <w:top w:val="nil"/>
              <w:left w:val="single" w:sz="8" w:space="0" w:color="auto"/>
              <w:bottom w:val="single" w:sz="4" w:space="0" w:color="auto"/>
              <w:right w:val="single" w:sz="12" w:space="0" w:color="auto"/>
            </w:tcBorders>
            <w:shd w:val="clear" w:color="auto" w:fill="E8E8E8"/>
            <w:vAlign w:val="bottom"/>
            <w:hideMark/>
          </w:tcPr>
          <w:p w14:paraId="31A2083A" w14:textId="77777777" w:rsidR="0016412B" w:rsidRPr="0016412B" w:rsidRDefault="0016412B" w:rsidP="0016412B">
            <w:pPr>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Department for Transport TCR Grant</w:t>
            </w:r>
          </w:p>
        </w:tc>
        <w:tc>
          <w:tcPr>
            <w:tcW w:w="1140" w:type="dxa"/>
            <w:tcBorders>
              <w:top w:val="nil"/>
              <w:left w:val="nil"/>
              <w:bottom w:val="single" w:sz="4" w:space="0" w:color="auto"/>
              <w:right w:val="single" w:sz="8" w:space="0" w:color="auto"/>
            </w:tcBorders>
            <w:noWrap/>
            <w:vAlign w:val="bottom"/>
            <w:hideMark/>
          </w:tcPr>
          <w:p w14:paraId="30226BCB" w14:textId="18F20118" w:rsidR="0016412B" w:rsidRPr="0016412B" w:rsidRDefault="0016412B" w:rsidP="0016412B">
            <w:pPr>
              <w:jc w:val="right"/>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 xml:space="preserve">(7,374) </w:t>
            </w:r>
          </w:p>
        </w:tc>
      </w:tr>
      <w:tr w:rsidR="0016412B" w:rsidRPr="0016412B" w14:paraId="7C9FF1F0" w14:textId="77777777" w:rsidTr="00057CB5">
        <w:trPr>
          <w:trHeight w:val="300"/>
        </w:trPr>
        <w:tc>
          <w:tcPr>
            <w:tcW w:w="6280" w:type="dxa"/>
            <w:tcBorders>
              <w:top w:val="nil"/>
              <w:left w:val="single" w:sz="8" w:space="0" w:color="auto"/>
              <w:bottom w:val="single" w:sz="4" w:space="0" w:color="auto"/>
              <w:right w:val="single" w:sz="12" w:space="0" w:color="auto"/>
            </w:tcBorders>
            <w:shd w:val="clear" w:color="auto" w:fill="E8E8E8"/>
            <w:vAlign w:val="bottom"/>
            <w:hideMark/>
          </w:tcPr>
          <w:p w14:paraId="6C6C7F33" w14:textId="67CC687F" w:rsidR="0016412B" w:rsidRPr="0016412B" w:rsidRDefault="0016412B" w:rsidP="0016412B">
            <w:pPr>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 xml:space="preserve">Capital </w:t>
            </w:r>
            <w:r w:rsidR="00DE1E97">
              <w:rPr>
                <w:rFonts w:eastAsia="Times New Roman" w:cs="Times New Roman"/>
                <w:color w:val="000000"/>
                <w:kern w:val="0"/>
                <w:sz w:val="20"/>
                <w:szCs w:val="20"/>
                <w:lang w:eastAsia="en-GB"/>
                <w14:ligatures w14:val="none"/>
              </w:rPr>
              <w:t>Reserves</w:t>
            </w:r>
          </w:p>
        </w:tc>
        <w:tc>
          <w:tcPr>
            <w:tcW w:w="1140" w:type="dxa"/>
            <w:tcBorders>
              <w:top w:val="nil"/>
              <w:left w:val="nil"/>
              <w:bottom w:val="single" w:sz="4" w:space="0" w:color="auto"/>
              <w:right w:val="single" w:sz="8" w:space="0" w:color="auto"/>
            </w:tcBorders>
            <w:noWrap/>
            <w:vAlign w:val="bottom"/>
            <w:hideMark/>
          </w:tcPr>
          <w:p w14:paraId="1958BEE4" w14:textId="634E5C1C" w:rsidR="0016412B" w:rsidRPr="0016412B" w:rsidRDefault="0016412B" w:rsidP="0016412B">
            <w:pPr>
              <w:jc w:val="right"/>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w:t>
            </w:r>
            <w:r w:rsidR="00CA6564">
              <w:rPr>
                <w:rFonts w:eastAsia="Times New Roman" w:cs="Times New Roman"/>
                <w:color w:val="000000"/>
                <w:kern w:val="0"/>
                <w:sz w:val="20"/>
                <w:szCs w:val="20"/>
                <w:lang w:eastAsia="en-GB"/>
                <w14:ligatures w14:val="none"/>
              </w:rPr>
              <w:t>91,106</w:t>
            </w:r>
            <w:r w:rsidRPr="0016412B">
              <w:rPr>
                <w:rFonts w:eastAsia="Times New Roman" w:cs="Times New Roman"/>
                <w:color w:val="000000"/>
                <w:kern w:val="0"/>
                <w:sz w:val="20"/>
                <w:szCs w:val="20"/>
                <w:lang w:eastAsia="en-GB"/>
                <w14:ligatures w14:val="none"/>
              </w:rPr>
              <w:t xml:space="preserve">) </w:t>
            </w:r>
          </w:p>
        </w:tc>
      </w:tr>
      <w:tr w:rsidR="0016412B" w:rsidRPr="0016412B" w14:paraId="5C34A607" w14:textId="77777777" w:rsidTr="00057CB5">
        <w:trPr>
          <w:trHeight w:val="310"/>
        </w:trPr>
        <w:tc>
          <w:tcPr>
            <w:tcW w:w="6280" w:type="dxa"/>
            <w:tcBorders>
              <w:top w:val="single" w:sz="12" w:space="0" w:color="auto"/>
              <w:left w:val="single" w:sz="8" w:space="0" w:color="auto"/>
              <w:bottom w:val="single" w:sz="12" w:space="0" w:color="auto"/>
              <w:right w:val="single" w:sz="12" w:space="0" w:color="auto"/>
            </w:tcBorders>
            <w:shd w:val="clear" w:color="auto" w:fill="E8E8E8"/>
            <w:noWrap/>
            <w:vAlign w:val="bottom"/>
            <w:hideMark/>
          </w:tcPr>
          <w:p w14:paraId="1F117E79" w14:textId="77777777" w:rsidR="0016412B" w:rsidRPr="0016412B" w:rsidRDefault="0016412B" w:rsidP="0016412B">
            <w:pPr>
              <w:rPr>
                <w:rFonts w:eastAsia="Times New Roman" w:cs="Times New Roman"/>
                <w:b/>
                <w:bCs/>
                <w:color w:val="000000"/>
                <w:kern w:val="0"/>
                <w:sz w:val="20"/>
                <w:szCs w:val="20"/>
                <w:lang w:eastAsia="en-GB"/>
                <w14:ligatures w14:val="none"/>
              </w:rPr>
            </w:pPr>
            <w:r w:rsidRPr="0016412B">
              <w:rPr>
                <w:rFonts w:eastAsia="Times New Roman" w:cs="Times New Roman"/>
                <w:b/>
                <w:bCs/>
                <w:color w:val="000000"/>
                <w:kern w:val="0"/>
                <w:sz w:val="20"/>
                <w:szCs w:val="20"/>
                <w:lang w:eastAsia="en-GB"/>
                <w14:ligatures w14:val="none"/>
              </w:rPr>
              <w:t>Transport Total</w:t>
            </w:r>
          </w:p>
        </w:tc>
        <w:tc>
          <w:tcPr>
            <w:tcW w:w="1140" w:type="dxa"/>
            <w:tcBorders>
              <w:top w:val="single" w:sz="12" w:space="0" w:color="auto"/>
              <w:left w:val="nil"/>
              <w:bottom w:val="single" w:sz="12" w:space="0" w:color="auto"/>
              <w:right w:val="single" w:sz="8" w:space="0" w:color="auto"/>
            </w:tcBorders>
            <w:shd w:val="clear" w:color="auto" w:fill="E8E8E8"/>
            <w:noWrap/>
            <w:vAlign w:val="bottom"/>
            <w:hideMark/>
          </w:tcPr>
          <w:p w14:paraId="7D2DAC37" w14:textId="21705A56" w:rsidR="0016412B" w:rsidRPr="0016412B" w:rsidRDefault="0016412B" w:rsidP="0016412B">
            <w:pPr>
              <w:jc w:val="right"/>
              <w:rPr>
                <w:rFonts w:eastAsia="Times New Roman" w:cs="Times New Roman"/>
                <w:color w:val="000000"/>
                <w:kern w:val="0"/>
                <w:sz w:val="20"/>
                <w:szCs w:val="20"/>
                <w:lang w:eastAsia="en-GB"/>
                <w14:ligatures w14:val="none"/>
              </w:rPr>
            </w:pPr>
            <w:r w:rsidRPr="0016412B">
              <w:rPr>
                <w:rFonts w:eastAsia="Times New Roman" w:cs="Times New Roman"/>
                <w:color w:val="000000"/>
                <w:kern w:val="0"/>
                <w:sz w:val="20"/>
                <w:szCs w:val="20"/>
                <w:lang w:eastAsia="en-GB"/>
                <w14:ligatures w14:val="none"/>
              </w:rPr>
              <w:t>(1</w:t>
            </w:r>
            <w:r w:rsidR="00852DAB">
              <w:rPr>
                <w:rFonts w:eastAsia="Times New Roman" w:cs="Times New Roman"/>
                <w:color w:val="000000"/>
                <w:kern w:val="0"/>
                <w:sz w:val="20"/>
                <w:szCs w:val="20"/>
                <w:lang w:eastAsia="en-GB"/>
                <w14:ligatures w14:val="none"/>
              </w:rPr>
              <w:t>60,906</w:t>
            </w:r>
            <w:r w:rsidRPr="0016412B">
              <w:rPr>
                <w:rFonts w:eastAsia="Times New Roman" w:cs="Times New Roman"/>
                <w:color w:val="000000"/>
                <w:kern w:val="0"/>
                <w:sz w:val="20"/>
                <w:szCs w:val="20"/>
                <w:lang w:eastAsia="en-GB"/>
                <w14:ligatures w14:val="none"/>
              </w:rPr>
              <w:t xml:space="preserve">) </w:t>
            </w:r>
          </w:p>
        </w:tc>
      </w:tr>
      <w:tr w:rsidR="0016412B" w:rsidRPr="0016412B" w14:paraId="62C323E7" w14:textId="77777777" w:rsidTr="00057CB5">
        <w:trPr>
          <w:trHeight w:val="310"/>
        </w:trPr>
        <w:tc>
          <w:tcPr>
            <w:tcW w:w="6280" w:type="dxa"/>
            <w:tcBorders>
              <w:top w:val="nil"/>
              <w:left w:val="single" w:sz="8" w:space="0" w:color="auto"/>
              <w:bottom w:val="single" w:sz="8" w:space="0" w:color="auto"/>
              <w:right w:val="single" w:sz="12" w:space="0" w:color="auto"/>
            </w:tcBorders>
            <w:shd w:val="clear" w:color="auto" w:fill="E8E8E8"/>
            <w:noWrap/>
            <w:vAlign w:val="bottom"/>
            <w:hideMark/>
          </w:tcPr>
          <w:p w14:paraId="6AD231AF" w14:textId="77777777" w:rsidR="0016412B" w:rsidRPr="0016412B" w:rsidRDefault="0016412B" w:rsidP="0016412B">
            <w:pPr>
              <w:rPr>
                <w:rFonts w:eastAsia="Times New Roman" w:cs="Times New Roman"/>
                <w:b/>
                <w:bCs/>
                <w:color w:val="000000"/>
                <w:kern w:val="0"/>
                <w:sz w:val="20"/>
                <w:szCs w:val="20"/>
                <w:lang w:eastAsia="en-GB"/>
                <w14:ligatures w14:val="none"/>
              </w:rPr>
            </w:pPr>
            <w:r w:rsidRPr="0016412B">
              <w:rPr>
                <w:rFonts w:eastAsia="Times New Roman" w:cs="Times New Roman"/>
                <w:b/>
                <w:bCs/>
                <w:color w:val="000000"/>
                <w:kern w:val="0"/>
                <w:sz w:val="20"/>
                <w:szCs w:val="20"/>
                <w:lang w:eastAsia="en-GB"/>
                <w14:ligatures w14:val="none"/>
              </w:rPr>
              <w:t>Total Capital Funding</w:t>
            </w:r>
          </w:p>
        </w:tc>
        <w:tc>
          <w:tcPr>
            <w:tcW w:w="1140" w:type="dxa"/>
            <w:tcBorders>
              <w:top w:val="nil"/>
              <w:left w:val="nil"/>
              <w:bottom w:val="single" w:sz="8" w:space="0" w:color="auto"/>
              <w:right w:val="single" w:sz="8" w:space="0" w:color="auto"/>
            </w:tcBorders>
            <w:shd w:val="clear" w:color="auto" w:fill="E8E8E8"/>
            <w:noWrap/>
            <w:vAlign w:val="bottom"/>
            <w:hideMark/>
          </w:tcPr>
          <w:p w14:paraId="1CC8E9EE" w14:textId="659C1BDD" w:rsidR="0016412B" w:rsidRPr="0016412B" w:rsidRDefault="0016412B" w:rsidP="0016412B">
            <w:pPr>
              <w:jc w:val="right"/>
              <w:rPr>
                <w:rFonts w:eastAsia="Times New Roman" w:cs="Times New Roman"/>
                <w:b/>
                <w:bCs/>
                <w:color w:val="000000"/>
                <w:kern w:val="0"/>
                <w:sz w:val="20"/>
                <w:szCs w:val="20"/>
                <w:lang w:eastAsia="en-GB"/>
                <w14:ligatures w14:val="none"/>
              </w:rPr>
            </w:pPr>
            <w:r w:rsidRPr="0016412B">
              <w:rPr>
                <w:rFonts w:eastAsia="Times New Roman" w:cs="Times New Roman"/>
                <w:b/>
                <w:bCs/>
                <w:color w:val="000000"/>
                <w:kern w:val="0"/>
                <w:sz w:val="20"/>
                <w:szCs w:val="20"/>
                <w:lang w:eastAsia="en-GB"/>
                <w14:ligatures w14:val="none"/>
              </w:rPr>
              <w:t>(176,71</w:t>
            </w:r>
            <w:r w:rsidR="000C02ED">
              <w:rPr>
                <w:rFonts w:eastAsia="Times New Roman" w:cs="Times New Roman"/>
                <w:b/>
                <w:bCs/>
                <w:color w:val="000000"/>
                <w:kern w:val="0"/>
                <w:sz w:val="20"/>
                <w:szCs w:val="20"/>
                <w:lang w:eastAsia="en-GB"/>
                <w14:ligatures w14:val="none"/>
              </w:rPr>
              <w:t>4</w:t>
            </w:r>
            <w:r w:rsidRPr="0016412B">
              <w:rPr>
                <w:rFonts w:eastAsia="Times New Roman" w:cs="Times New Roman"/>
                <w:b/>
                <w:bCs/>
                <w:color w:val="000000"/>
                <w:kern w:val="0"/>
                <w:sz w:val="20"/>
                <w:szCs w:val="20"/>
                <w:lang w:eastAsia="en-GB"/>
                <w14:ligatures w14:val="none"/>
              </w:rPr>
              <w:t xml:space="preserve">) </w:t>
            </w:r>
          </w:p>
        </w:tc>
      </w:tr>
    </w:tbl>
    <w:p w14:paraId="0E83CC7D" w14:textId="77777777" w:rsidR="0006328C" w:rsidRDefault="0006328C" w:rsidP="00597EF7">
      <w:pPr>
        <w:pStyle w:val="ListParagraph"/>
        <w:spacing w:line="276" w:lineRule="auto"/>
        <w:ind w:left="0"/>
        <w:rPr>
          <w:rFonts w:ascii="Inter" w:hAnsi="Inter" w:cs="Arial"/>
          <w:b/>
        </w:rPr>
      </w:pPr>
    </w:p>
    <w:p w14:paraId="370411DA" w14:textId="112A921B" w:rsidR="0006328C" w:rsidRDefault="00987CD0" w:rsidP="2DFE4DF5">
      <w:pPr>
        <w:pStyle w:val="ListParagraph"/>
        <w:numPr>
          <w:ilvl w:val="0"/>
          <w:numId w:val="3"/>
        </w:numPr>
        <w:spacing w:line="276" w:lineRule="auto"/>
        <w:rPr>
          <w:rFonts w:ascii="Inter" w:hAnsi="Inter" w:cs="Arial"/>
          <w:b/>
          <w:bCs/>
        </w:rPr>
      </w:pPr>
      <w:r w:rsidRPr="2DFE4DF5">
        <w:rPr>
          <w:rFonts w:ascii="Inter" w:hAnsi="Inter" w:cs="Arial"/>
          <w:b/>
          <w:bCs/>
        </w:rPr>
        <w:t>Business Solutions Capital Projects</w:t>
      </w:r>
    </w:p>
    <w:p w14:paraId="5ACF4A7E" w14:textId="0B7DD672" w:rsidR="00EC374D" w:rsidRDefault="00D2466D" w:rsidP="00AD4EE9">
      <w:pPr>
        <w:pStyle w:val="ListParagraph"/>
        <w:numPr>
          <w:ilvl w:val="0"/>
          <w:numId w:val="15"/>
        </w:numPr>
        <w:spacing w:line="276" w:lineRule="auto"/>
        <w:rPr>
          <w:rFonts w:ascii="Inter" w:hAnsi="Inter" w:cs="Arial"/>
          <w:bCs/>
        </w:rPr>
      </w:pPr>
      <w:r>
        <w:rPr>
          <w:rFonts w:ascii="Inter" w:hAnsi="Inter" w:cs="Arial"/>
          <w:bCs/>
        </w:rPr>
        <w:t>£</w:t>
      </w:r>
      <w:r w:rsidR="00F1726B">
        <w:rPr>
          <w:rFonts w:ascii="Inter" w:hAnsi="Inter" w:cs="Arial"/>
          <w:bCs/>
        </w:rPr>
        <w:t xml:space="preserve">15.808m </w:t>
      </w:r>
      <w:r w:rsidR="006647A5">
        <w:rPr>
          <w:rFonts w:ascii="Inter" w:hAnsi="Inter" w:cs="Arial"/>
          <w:bCs/>
        </w:rPr>
        <w:t>of Warm Hom</w:t>
      </w:r>
      <w:r w:rsidR="00032DA3">
        <w:rPr>
          <w:rFonts w:ascii="Inter" w:hAnsi="Inter" w:cs="Arial"/>
          <w:bCs/>
        </w:rPr>
        <w:t xml:space="preserve">e Social Housing Fund grant was successfully awarded for 2026, </w:t>
      </w:r>
      <w:r w:rsidR="00D3076D">
        <w:rPr>
          <w:rFonts w:ascii="Inter" w:hAnsi="Inter" w:cs="Arial"/>
          <w:bCs/>
        </w:rPr>
        <w:t xml:space="preserve">continuing the work of previous waves </w:t>
      </w:r>
      <w:r w:rsidR="00E61D63">
        <w:rPr>
          <w:rFonts w:ascii="Inter" w:hAnsi="Inter" w:cs="Arial"/>
          <w:bCs/>
        </w:rPr>
        <w:t>to improve social housing in the area.</w:t>
      </w:r>
    </w:p>
    <w:p w14:paraId="3BDDCB0C" w14:textId="77777777" w:rsidR="00D3076D" w:rsidRDefault="00D3076D" w:rsidP="00D3076D">
      <w:pPr>
        <w:pStyle w:val="ListParagraph"/>
        <w:spacing w:line="276" w:lineRule="auto"/>
        <w:ind w:left="785"/>
        <w:rPr>
          <w:rFonts w:ascii="Inter" w:hAnsi="Inter" w:cs="Arial"/>
          <w:bCs/>
        </w:rPr>
      </w:pPr>
    </w:p>
    <w:p w14:paraId="30F9FBEA" w14:textId="33F3A0BB" w:rsidR="002B564F" w:rsidRDefault="00DA2A27" w:rsidP="007803B6">
      <w:pPr>
        <w:pStyle w:val="ListParagraph"/>
        <w:numPr>
          <w:ilvl w:val="0"/>
          <w:numId w:val="15"/>
        </w:numPr>
        <w:spacing w:line="276" w:lineRule="auto"/>
        <w:rPr>
          <w:rFonts w:ascii="Inter" w:hAnsi="Inter" w:cs="Arial"/>
          <w:bCs/>
        </w:rPr>
      </w:pPr>
      <w:r>
        <w:rPr>
          <w:rFonts w:ascii="Inter" w:hAnsi="Inter" w:cs="Arial"/>
          <w:bCs/>
        </w:rPr>
        <w:t xml:space="preserve">£3.5m </w:t>
      </w:r>
      <w:r w:rsidR="00B9175F">
        <w:rPr>
          <w:rFonts w:ascii="Inter" w:hAnsi="Inter" w:cs="Arial"/>
          <w:bCs/>
        </w:rPr>
        <w:t xml:space="preserve">has been budgeted for </w:t>
      </w:r>
      <w:r w:rsidR="000E020E">
        <w:rPr>
          <w:rFonts w:ascii="Inter" w:hAnsi="Inter" w:cs="Arial"/>
          <w:bCs/>
        </w:rPr>
        <w:t xml:space="preserve">investment in </w:t>
      </w:r>
      <w:r w:rsidR="00BE3376">
        <w:rPr>
          <w:rFonts w:ascii="Inter" w:hAnsi="Inter" w:cs="Arial"/>
          <w:bCs/>
        </w:rPr>
        <w:t>Billingham and Darlington.</w:t>
      </w:r>
    </w:p>
    <w:p w14:paraId="01AFA239" w14:textId="77777777" w:rsidR="005B71B0" w:rsidRDefault="005B71B0" w:rsidP="005B71B0">
      <w:pPr>
        <w:pStyle w:val="ListParagraph"/>
        <w:spacing w:line="276" w:lineRule="auto"/>
        <w:ind w:left="785"/>
        <w:rPr>
          <w:rFonts w:ascii="Inter" w:hAnsi="Inter" w:cs="Arial"/>
          <w:bCs/>
        </w:rPr>
      </w:pPr>
    </w:p>
    <w:p w14:paraId="376315C7" w14:textId="40A88B1D" w:rsidR="00760A0B" w:rsidRDefault="00760A0B" w:rsidP="2DFE4DF5">
      <w:pPr>
        <w:pStyle w:val="ListParagraph"/>
        <w:numPr>
          <w:ilvl w:val="0"/>
          <w:numId w:val="3"/>
        </w:numPr>
        <w:spacing w:line="276" w:lineRule="auto"/>
        <w:rPr>
          <w:rFonts w:ascii="Inter" w:hAnsi="Inter" w:cs="Arial"/>
          <w:b/>
          <w:bCs/>
        </w:rPr>
      </w:pPr>
      <w:r w:rsidRPr="2DFE4DF5">
        <w:rPr>
          <w:rFonts w:ascii="Inter" w:hAnsi="Inter" w:cs="Arial"/>
          <w:b/>
          <w:bCs/>
        </w:rPr>
        <w:t>Inward Investment Capital Projects</w:t>
      </w:r>
    </w:p>
    <w:p w14:paraId="641114AF" w14:textId="733B16AD" w:rsidR="00760A0B" w:rsidRDefault="00155376" w:rsidP="00AD4EE9">
      <w:pPr>
        <w:pStyle w:val="ListParagraph"/>
        <w:numPr>
          <w:ilvl w:val="0"/>
          <w:numId w:val="15"/>
        </w:numPr>
        <w:spacing w:line="276" w:lineRule="auto"/>
        <w:rPr>
          <w:rFonts w:ascii="Inter" w:hAnsi="Inter" w:cs="Arial"/>
          <w:bCs/>
        </w:rPr>
      </w:pPr>
      <w:r w:rsidRPr="00155376">
        <w:rPr>
          <w:rFonts w:ascii="Inter" w:hAnsi="Inter" w:cs="Arial"/>
          <w:bCs/>
        </w:rPr>
        <w:t>£6.327m</w:t>
      </w:r>
      <w:r>
        <w:rPr>
          <w:rFonts w:ascii="Inter" w:hAnsi="Inter" w:cs="Arial"/>
          <w:bCs/>
        </w:rPr>
        <w:t xml:space="preserve"> </w:t>
      </w:r>
      <w:r w:rsidR="00B8078D">
        <w:rPr>
          <w:rFonts w:ascii="Inter" w:hAnsi="Inter" w:cs="Arial"/>
          <w:bCs/>
        </w:rPr>
        <w:t xml:space="preserve">was approved </w:t>
      </w:r>
      <w:r w:rsidR="00D24E66">
        <w:rPr>
          <w:rFonts w:ascii="Inter" w:hAnsi="Inter" w:cs="Arial"/>
          <w:bCs/>
        </w:rPr>
        <w:t>within the Investment plan</w:t>
      </w:r>
      <w:r w:rsidR="00AF2378">
        <w:rPr>
          <w:rFonts w:ascii="Inter" w:hAnsi="Inter" w:cs="Arial"/>
          <w:bCs/>
        </w:rPr>
        <w:t xml:space="preserve"> </w:t>
      </w:r>
      <w:r w:rsidR="00AF53FC">
        <w:rPr>
          <w:rFonts w:ascii="Inter" w:hAnsi="Inter" w:cs="Arial"/>
          <w:bCs/>
        </w:rPr>
        <w:t xml:space="preserve">for </w:t>
      </w:r>
      <w:r w:rsidR="00AF2378">
        <w:rPr>
          <w:rFonts w:ascii="Inter" w:hAnsi="Inter" w:cs="Arial"/>
          <w:bCs/>
        </w:rPr>
        <w:t>2026/27 for works relating to the regeneration of STDC.</w:t>
      </w:r>
    </w:p>
    <w:p w14:paraId="74223C48" w14:textId="77777777" w:rsidR="002B03EC" w:rsidRPr="00155376" w:rsidRDefault="002B03EC" w:rsidP="002B03EC">
      <w:pPr>
        <w:pStyle w:val="ListParagraph"/>
        <w:spacing w:line="276" w:lineRule="auto"/>
        <w:ind w:left="785"/>
        <w:rPr>
          <w:rFonts w:ascii="Inter" w:hAnsi="Inter" w:cs="Arial"/>
          <w:bCs/>
        </w:rPr>
      </w:pPr>
    </w:p>
    <w:p w14:paraId="25B5BAF8" w14:textId="221915B9" w:rsidR="005B71B0" w:rsidRDefault="005B71B0" w:rsidP="2DFE4DF5">
      <w:pPr>
        <w:pStyle w:val="ListParagraph"/>
        <w:numPr>
          <w:ilvl w:val="0"/>
          <w:numId w:val="3"/>
        </w:numPr>
        <w:spacing w:line="276" w:lineRule="auto"/>
        <w:rPr>
          <w:rFonts w:ascii="Inter" w:hAnsi="Inter" w:cs="Arial"/>
          <w:b/>
          <w:bCs/>
        </w:rPr>
      </w:pPr>
      <w:r w:rsidRPr="2DFE4DF5">
        <w:rPr>
          <w:rFonts w:ascii="Inter" w:hAnsi="Inter" w:cs="Arial"/>
          <w:b/>
          <w:bCs/>
        </w:rPr>
        <w:t>Transport Capital Projects</w:t>
      </w:r>
    </w:p>
    <w:p w14:paraId="37ED1B5B" w14:textId="1206978B" w:rsidR="00F02F07" w:rsidRDefault="00F02F07" w:rsidP="2DFE4DF5">
      <w:pPr>
        <w:pStyle w:val="ListParagraph"/>
        <w:numPr>
          <w:ilvl w:val="0"/>
          <w:numId w:val="15"/>
        </w:numPr>
        <w:spacing w:line="276" w:lineRule="auto"/>
        <w:rPr>
          <w:rFonts w:ascii="Inter" w:eastAsia="Inter" w:hAnsi="Inter" w:cs="Inter"/>
          <w:szCs w:val="22"/>
        </w:rPr>
      </w:pPr>
      <w:r w:rsidRPr="2DFE4DF5">
        <w:rPr>
          <w:rFonts w:ascii="Inter" w:hAnsi="Inter" w:cs="Arial"/>
        </w:rPr>
        <w:t xml:space="preserve">£151.078m </w:t>
      </w:r>
      <w:r w:rsidR="004F4F3A" w:rsidRPr="2DFE4DF5">
        <w:rPr>
          <w:rFonts w:ascii="Inter" w:hAnsi="Inter" w:cs="Arial"/>
        </w:rPr>
        <w:t xml:space="preserve">of </w:t>
      </w:r>
      <w:r w:rsidR="55E60449" w:rsidRPr="2DFE4DF5">
        <w:rPr>
          <w:rFonts w:ascii="Inter" w:eastAsia="Inter" w:hAnsi="Inter" w:cs="Inter"/>
          <w:szCs w:val="22"/>
        </w:rPr>
        <w:t>Transport projects were approved within the Investment Plan for 2026/27.</w:t>
      </w:r>
    </w:p>
    <w:p w14:paraId="219E9E28" w14:textId="3C8101DB" w:rsidR="55E60449" w:rsidRDefault="55E60449" w:rsidP="2DFE4DF5">
      <w:pPr>
        <w:pStyle w:val="ListParagraph"/>
        <w:numPr>
          <w:ilvl w:val="0"/>
          <w:numId w:val="15"/>
        </w:numPr>
        <w:spacing w:line="276" w:lineRule="auto"/>
        <w:rPr>
          <w:rFonts w:ascii="Inter" w:eastAsia="Inter" w:hAnsi="Inter" w:cs="Inter"/>
          <w:szCs w:val="22"/>
        </w:rPr>
      </w:pPr>
      <w:r w:rsidRPr="2DFE4DF5">
        <w:rPr>
          <w:rFonts w:ascii="Inter" w:eastAsia="Inter" w:hAnsi="Inter" w:cs="Inter"/>
          <w:szCs w:val="22"/>
        </w:rPr>
        <w:lastRenderedPageBreak/>
        <w:t>The current funding stream CRSTS (City Region Sustainable Transport Settlement) is due to finish in 2026/27 and will be superseded by TCR (Transport for City Regions) which will commence in 2026/27.</w:t>
      </w:r>
    </w:p>
    <w:p w14:paraId="599A18B7" w14:textId="2F72159D" w:rsidR="2DFE4DF5" w:rsidRDefault="2DFE4DF5" w:rsidP="2DFE4DF5">
      <w:pPr>
        <w:pStyle w:val="ListParagraph"/>
        <w:spacing w:line="276" w:lineRule="auto"/>
        <w:ind w:left="785"/>
        <w:rPr>
          <w:rFonts w:ascii="Inter" w:hAnsi="Inter" w:cs="Arial"/>
          <w:b/>
          <w:bCs/>
        </w:rPr>
      </w:pPr>
    </w:p>
    <w:p w14:paraId="66AD773A" w14:textId="77777777" w:rsidR="00130587" w:rsidRPr="00130587" w:rsidRDefault="00130587" w:rsidP="00130587">
      <w:pPr>
        <w:spacing w:line="276" w:lineRule="auto"/>
        <w:rPr>
          <w:rFonts w:ascii="Inter" w:hAnsi="Inter" w:cs="Arial"/>
          <w:b/>
        </w:rPr>
      </w:pPr>
    </w:p>
    <w:p w14:paraId="6C1A56CD" w14:textId="115AADA0" w:rsidR="5463F47C" w:rsidRDefault="5463F47C" w:rsidP="5463F47C">
      <w:pPr>
        <w:spacing w:line="276" w:lineRule="auto"/>
        <w:rPr>
          <w:rFonts w:ascii="Inter" w:hAnsi="Inter" w:cs="Arial"/>
          <w:b/>
          <w:bCs/>
        </w:rPr>
      </w:pPr>
    </w:p>
    <w:p w14:paraId="5F52FEC5" w14:textId="67B95CD1" w:rsidR="00D06EAE" w:rsidRPr="009D7A02" w:rsidRDefault="00D06EAE" w:rsidP="16FD5590">
      <w:pPr>
        <w:pStyle w:val="ListParagraph"/>
        <w:spacing w:line="276" w:lineRule="auto"/>
        <w:ind w:left="567" w:hanging="567"/>
        <w:rPr>
          <w:rFonts w:ascii="Inter" w:hAnsi="Inter" w:cs="Arial"/>
          <w:b/>
          <w:bCs/>
        </w:rPr>
      </w:pPr>
      <w:r w:rsidRPr="009D7A02">
        <w:rPr>
          <w:rFonts w:ascii="Inter" w:hAnsi="Inter" w:cs="Arial"/>
          <w:b/>
          <w:bCs/>
        </w:rPr>
        <w:t>RESERVES</w:t>
      </w:r>
    </w:p>
    <w:p w14:paraId="715036A1" w14:textId="73209582" w:rsidR="16FD5590" w:rsidRPr="009D7A02" w:rsidRDefault="16FD5590" w:rsidP="16FD5590">
      <w:pPr>
        <w:pStyle w:val="ListParagraph"/>
        <w:spacing w:line="276" w:lineRule="auto"/>
        <w:ind w:left="567" w:hanging="567"/>
        <w:rPr>
          <w:rFonts w:ascii="Inter" w:hAnsi="Inter" w:cs="Arial"/>
          <w:b/>
          <w:bCs/>
        </w:rPr>
      </w:pPr>
    </w:p>
    <w:p w14:paraId="30B3DA3D" w14:textId="1F8A9065" w:rsidR="00D904FB" w:rsidRPr="00924627" w:rsidRDefault="00D904FB" w:rsidP="2DFE4DF5">
      <w:pPr>
        <w:pStyle w:val="ListParagraph"/>
        <w:numPr>
          <w:ilvl w:val="0"/>
          <w:numId w:val="3"/>
        </w:numPr>
        <w:spacing w:line="276" w:lineRule="auto"/>
        <w:ind w:left="567" w:hanging="567"/>
        <w:rPr>
          <w:rFonts w:ascii="Inter" w:hAnsi="Inter" w:cs="Arial"/>
        </w:rPr>
      </w:pPr>
      <w:r w:rsidRPr="2DFE4DF5">
        <w:rPr>
          <w:rFonts w:ascii="Inter" w:hAnsi="Inter" w:cs="Arial"/>
        </w:rPr>
        <w:t>TVCA maintains</w:t>
      </w:r>
      <w:r w:rsidR="05693905" w:rsidRPr="2DFE4DF5">
        <w:rPr>
          <w:rFonts w:ascii="Inter" w:hAnsi="Inter" w:cs="Arial"/>
        </w:rPr>
        <w:t xml:space="preserve"> a General Fund reserve which acts as a general contingency against unforeseen or unplanned expenditure.</w:t>
      </w:r>
      <w:r w:rsidR="383C5AB7" w:rsidRPr="2DFE4DF5">
        <w:rPr>
          <w:rFonts w:ascii="Inter" w:hAnsi="Inter" w:cs="Arial"/>
        </w:rPr>
        <w:t xml:space="preserve">  For 2025/26 the General Fund balance currently stands at £1.058m.   Along with the final budget, the Treasury Management Strategy will be presented to Cabinet in March </w:t>
      </w:r>
      <w:r w:rsidR="5B23B427" w:rsidRPr="2DFE4DF5">
        <w:rPr>
          <w:rFonts w:ascii="Inter" w:hAnsi="Inter" w:cs="Arial"/>
        </w:rPr>
        <w:t xml:space="preserve">for approval </w:t>
      </w:r>
      <w:r w:rsidR="383C5AB7" w:rsidRPr="2DFE4DF5">
        <w:rPr>
          <w:rFonts w:ascii="Inter" w:hAnsi="Inter" w:cs="Arial"/>
        </w:rPr>
        <w:t>which will also include a Reserves Po</w:t>
      </w:r>
      <w:r w:rsidR="482106A7" w:rsidRPr="2DFE4DF5">
        <w:rPr>
          <w:rFonts w:ascii="Inter" w:hAnsi="Inter" w:cs="Arial"/>
        </w:rPr>
        <w:t xml:space="preserve">licy for the first time.  This will set out </w:t>
      </w:r>
      <w:r w:rsidR="4821D5E5" w:rsidRPr="2DFE4DF5">
        <w:rPr>
          <w:rFonts w:ascii="Inter" w:hAnsi="Inter" w:cs="Arial"/>
        </w:rPr>
        <w:t>the Authority’s</w:t>
      </w:r>
      <w:r w:rsidR="482106A7" w:rsidRPr="2DFE4DF5">
        <w:rPr>
          <w:rFonts w:ascii="Inter" w:hAnsi="Inter" w:cs="Arial"/>
        </w:rPr>
        <w:t xml:space="preserve"> proposed strategic approach to the maint</w:t>
      </w:r>
      <w:r w:rsidR="16F588DF" w:rsidRPr="2DFE4DF5">
        <w:rPr>
          <w:rFonts w:ascii="Inter" w:hAnsi="Inter" w:cs="Arial"/>
        </w:rPr>
        <w:t xml:space="preserve">enance of revenue </w:t>
      </w:r>
      <w:r w:rsidR="5FC89031" w:rsidRPr="2DFE4DF5">
        <w:rPr>
          <w:rFonts w:ascii="Inter" w:hAnsi="Inter" w:cs="Arial"/>
        </w:rPr>
        <w:t>reserves.  It is likely that the S73 Officer will recommend that the current level is increased.</w:t>
      </w:r>
    </w:p>
    <w:p w14:paraId="75E3A938" w14:textId="620F5159" w:rsidR="00D904FB" w:rsidRPr="009D7A02" w:rsidRDefault="00D904FB" w:rsidP="00924627">
      <w:pPr>
        <w:spacing w:line="276" w:lineRule="auto"/>
        <w:ind w:left="567" w:hanging="567"/>
        <w:rPr>
          <w:rFonts w:ascii="Inter" w:hAnsi="Inter" w:cs="Arial"/>
        </w:rPr>
      </w:pPr>
    </w:p>
    <w:p w14:paraId="7A4AD738" w14:textId="4FE1B208" w:rsidR="00D904FB" w:rsidRPr="00924627" w:rsidRDefault="05693905" w:rsidP="2DFE4DF5">
      <w:pPr>
        <w:pStyle w:val="ListParagraph"/>
        <w:numPr>
          <w:ilvl w:val="0"/>
          <w:numId w:val="3"/>
        </w:numPr>
        <w:spacing w:line="276" w:lineRule="auto"/>
        <w:ind w:left="567" w:hanging="567"/>
        <w:rPr>
          <w:rFonts w:ascii="Inter" w:hAnsi="Inter" w:cs="Arial"/>
        </w:rPr>
      </w:pPr>
      <w:r w:rsidRPr="2DFE4DF5">
        <w:rPr>
          <w:rFonts w:ascii="Inter" w:hAnsi="Inter" w:cs="Arial"/>
        </w:rPr>
        <w:t>Following local authority accounting rules, the Combined Authority also main</w:t>
      </w:r>
      <w:r w:rsidR="4EC0D4B3" w:rsidRPr="2DFE4DF5">
        <w:rPr>
          <w:rFonts w:ascii="Inter" w:hAnsi="Inter" w:cs="Arial"/>
        </w:rPr>
        <w:t>tains</w:t>
      </w:r>
      <w:r w:rsidR="004F76BF" w:rsidRPr="2DFE4DF5">
        <w:rPr>
          <w:rFonts w:ascii="Inter" w:hAnsi="Inter" w:cs="Arial"/>
        </w:rPr>
        <w:t xml:space="preserve"> </w:t>
      </w:r>
      <w:r w:rsidRPr="2DFE4DF5">
        <w:rPr>
          <w:rFonts w:ascii="Inter" w:hAnsi="Inter" w:cs="Arial"/>
        </w:rPr>
        <w:t>earmarked reserves which are</w:t>
      </w:r>
      <w:r w:rsidR="00D904FB" w:rsidRPr="2DFE4DF5">
        <w:rPr>
          <w:rFonts w:ascii="Inter" w:hAnsi="Inter" w:cs="Arial"/>
        </w:rPr>
        <w:t xml:space="preserve"> revenue reserves </w:t>
      </w:r>
      <w:r w:rsidR="54F5FD09" w:rsidRPr="2DFE4DF5">
        <w:rPr>
          <w:rFonts w:ascii="Inter" w:hAnsi="Inter" w:cs="Arial"/>
        </w:rPr>
        <w:t>set aside for specific purposes which may include providing an additional reserve to manage strategic risks identified.</w:t>
      </w:r>
    </w:p>
    <w:p w14:paraId="0C6283B2" w14:textId="3E308CA1" w:rsidR="00D904FB" w:rsidRPr="009D7A02" w:rsidRDefault="00D904FB" w:rsidP="00924627">
      <w:pPr>
        <w:spacing w:line="276" w:lineRule="auto"/>
        <w:ind w:left="567" w:hanging="567"/>
        <w:rPr>
          <w:rFonts w:ascii="Inter" w:hAnsi="Inter" w:cs="Arial"/>
        </w:rPr>
      </w:pPr>
    </w:p>
    <w:p w14:paraId="7DC32851" w14:textId="73B76CE3" w:rsidR="00D904FB" w:rsidRPr="00924627" w:rsidRDefault="00D904FB" w:rsidP="2DFE4DF5">
      <w:pPr>
        <w:pStyle w:val="ListParagraph"/>
        <w:numPr>
          <w:ilvl w:val="0"/>
          <w:numId w:val="3"/>
        </w:numPr>
        <w:spacing w:line="276" w:lineRule="auto"/>
        <w:ind w:left="567" w:hanging="567"/>
        <w:rPr>
          <w:rFonts w:ascii="Inter" w:hAnsi="Inter" w:cs="Arial"/>
        </w:rPr>
      </w:pPr>
      <w:r w:rsidRPr="2DFE4DF5">
        <w:rPr>
          <w:rFonts w:ascii="Inter" w:hAnsi="Inter" w:cs="Arial"/>
        </w:rPr>
        <w:t>T</w:t>
      </w:r>
      <w:r w:rsidR="59358AA1" w:rsidRPr="2DFE4DF5">
        <w:rPr>
          <w:rFonts w:ascii="Inter" w:hAnsi="Inter" w:cs="Arial"/>
        </w:rPr>
        <w:t>VCA earm</w:t>
      </w:r>
      <w:r w:rsidR="0B32AF71" w:rsidRPr="2DFE4DF5">
        <w:rPr>
          <w:rFonts w:ascii="Inter" w:hAnsi="Inter" w:cs="Arial"/>
        </w:rPr>
        <w:t>a</w:t>
      </w:r>
      <w:r w:rsidR="59358AA1" w:rsidRPr="2DFE4DF5">
        <w:rPr>
          <w:rFonts w:ascii="Inter" w:hAnsi="Inter" w:cs="Arial"/>
        </w:rPr>
        <w:t>rked</w:t>
      </w:r>
      <w:r w:rsidRPr="2DFE4DF5">
        <w:rPr>
          <w:rFonts w:ascii="Inter" w:hAnsi="Inter" w:cs="Arial"/>
        </w:rPr>
        <w:t xml:space="preserve"> reserves are contributed to by </w:t>
      </w:r>
      <w:r w:rsidR="7E5C02FD" w:rsidRPr="2DFE4DF5">
        <w:rPr>
          <w:rFonts w:ascii="Inter" w:hAnsi="Inter" w:cs="Arial"/>
        </w:rPr>
        <w:t xml:space="preserve">the transfer of unspent </w:t>
      </w:r>
      <w:r w:rsidRPr="2DFE4DF5">
        <w:rPr>
          <w:rFonts w:ascii="Inter" w:hAnsi="Inter" w:cs="Arial"/>
        </w:rPr>
        <w:t>revenue grants</w:t>
      </w:r>
      <w:r w:rsidR="17DCE341" w:rsidRPr="2DFE4DF5">
        <w:rPr>
          <w:rFonts w:ascii="Inter" w:hAnsi="Inter" w:cs="Arial"/>
        </w:rPr>
        <w:t>, where the specific grant terms and conditions permit unspent grant to be rolled forward to fund future years’ expenditure.  Earmarked grant reserves tend to be</w:t>
      </w:r>
      <w:r w:rsidRPr="2DFE4DF5">
        <w:rPr>
          <w:rFonts w:ascii="Inter" w:hAnsi="Inter" w:cs="Arial"/>
        </w:rPr>
        <w:t xml:space="preserve"> ringfenced for specific activities in line with the relevant funding agreements.</w:t>
      </w:r>
    </w:p>
    <w:p w14:paraId="7779F5DC" w14:textId="0560ACA2" w:rsidR="283A358F" w:rsidRPr="009D7A02" w:rsidRDefault="283A358F" w:rsidP="00924627">
      <w:pPr>
        <w:spacing w:line="276" w:lineRule="auto"/>
        <w:ind w:left="567" w:hanging="567"/>
        <w:rPr>
          <w:rFonts w:ascii="Inter" w:hAnsi="Inter" w:cs="Arial"/>
        </w:rPr>
      </w:pPr>
    </w:p>
    <w:p w14:paraId="3BA3E78A" w14:textId="19AF6FEB" w:rsidR="14B55C03" w:rsidRPr="00924627" w:rsidRDefault="14B55C03" w:rsidP="2DFE4DF5">
      <w:pPr>
        <w:pStyle w:val="ListParagraph"/>
        <w:numPr>
          <w:ilvl w:val="0"/>
          <w:numId w:val="3"/>
        </w:numPr>
        <w:spacing w:line="276" w:lineRule="auto"/>
        <w:ind w:left="567" w:hanging="567"/>
        <w:rPr>
          <w:rFonts w:ascii="Inter" w:hAnsi="Inter" w:cs="Arial"/>
        </w:rPr>
      </w:pPr>
      <w:r w:rsidRPr="2DFE4DF5">
        <w:rPr>
          <w:rFonts w:ascii="Inter" w:hAnsi="Inter" w:cs="Arial"/>
        </w:rPr>
        <w:t xml:space="preserve">In addition to this, TVCA holds </w:t>
      </w:r>
      <w:r w:rsidR="72EDB666" w:rsidRPr="2DFE4DF5">
        <w:rPr>
          <w:rFonts w:ascii="Inter" w:hAnsi="Inter" w:cs="Arial"/>
        </w:rPr>
        <w:t>non-</w:t>
      </w:r>
      <w:r w:rsidRPr="2DFE4DF5">
        <w:rPr>
          <w:rFonts w:ascii="Inter" w:hAnsi="Inter" w:cs="Arial"/>
        </w:rPr>
        <w:t>ringfenced, earmarked reserves which have been created through underspends on prior year budgets and/or grant funds available to be spent as directed b</w:t>
      </w:r>
      <w:r w:rsidR="728AE0CF" w:rsidRPr="2DFE4DF5">
        <w:rPr>
          <w:rFonts w:ascii="Inter" w:hAnsi="Inter" w:cs="Arial"/>
        </w:rPr>
        <w:t>y the TVCA Cabinet.</w:t>
      </w:r>
    </w:p>
    <w:p w14:paraId="03029523" w14:textId="7951DEE7" w:rsidR="2BE6E83F" w:rsidRPr="009D7A02" w:rsidRDefault="2BE6E83F" w:rsidP="00924627">
      <w:pPr>
        <w:spacing w:line="276" w:lineRule="auto"/>
        <w:ind w:left="567" w:hanging="567"/>
        <w:rPr>
          <w:rFonts w:ascii="Inter" w:hAnsi="Inter" w:cs="Arial"/>
        </w:rPr>
      </w:pPr>
    </w:p>
    <w:p w14:paraId="62A8D250" w14:textId="25981FAA" w:rsidR="78F9F692" w:rsidRPr="007560D0" w:rsidRDefault="78F9F692" w:rsidP="2DFE4DF5">
      <w:pPr>
        <w:pStyle w:val="ListParagraph"/>
        <w:numPr>
          <w:ilvl w:val="0"/>
          <w:numId w:val="3"/>
        </w:numPr>
        <w:spacing w:line="276" w:lineRule="auto"/>
        <w:ind w:left="567" w:hanging="567"/>
        <w:rPr>
          <w:rFonts w:ascii="Inter" w:hAnsi="Inter" w:cs="Arial"/>
        </w:rPr>
      </w:pPr>
      <w:r w:rsidRPr="2DFE4DF5">
        <w:rPr>
          <w:rFonts w:ascii="Inter" w:hAnsi="Inter" w:cs="Arial"/>
        </w:rPr>
        <w:t>The draft Combined Authority</w:t>
      </w:r>
      <w:r w:rsidR="20ADBDB5" w:rsidRPr="2DFE4DF5">
        <w:rPr>
          <w:rFonts w:ascii="Inter" w:hAnsi="Inter" w:cs="Arial"/>
        </w:rPr>
        <w:t xml:space="preserve"> budget</w:t>
      </w:r>
      <w:r w:rsidRPr="2DFE4DF5">
        <w:rPr>
          <w:rFonts w:ascii="Inter" w:hAnsi="Inter" w:cs="Arial"/>
        </w:rPr>
        <w:t xml:space="preserve"> proposed in this report includes a dra</w:t>
      </w:r>
      <w:r w:rsidR="23C091C8" w:rsidRPr="2DFE4DF5">
        <w:rPr>
          <w:rFonts w:ascii="Inter" w:hAnsi="Inter" w:cs="Arial"/>
        </w:rPr>
        <w:t>wdown of £</w:t>
      </w:r>
      <w:r w:rsidR="00140E5A" w:rsidRPr="2DFE4DF5">
        <w:rPr>
          <w:rFonts w:ascii="Inter" w:hAnsi="Inter" w:cs="Arial"/>
        </w:rPr>
        <w:t>2.</w:t>
      </w:r>
      <w:r w:rsidR="00666D4A" w:rsidRPr="2DFE4DF5">
        <w:rPr>
          <w:rFonts w:ascii="Inter" w:hAnsi="Inter" w:cs="Arial"/>
        </w:rPr>
        <w:t>497m</w:t>
      </w:r>
      <w:r w:rsidR="23C091C8" w:rsidRPr="2DFE4DF5">
        <w:rPr>
          <w:rFonts w:ascii="Inter" w:hAnsi="Inter" w:cs="Arial"/>
        </w:rPr>
        <w:t xml:space="preserve"> to fund the </w:t>
      </w:r>
      <w:r w:rsidR="00BA68E7" w:rsidRPr="2DFE4DF5">
        <w:rPr>
          <w:rFonts w:ascii="Inter" w:hAnsi="Inter" w:cs="Arial"/>
        </w:rPr>
        <w:t xml:space="preserve">associated </w:t>
      </w:r>
      <w:r w:rsidR="23C091C8" w:rsidRPr="2DFE4DF5">
        <w:rPr>
          <w:rFonts w:ascii="Inter" w:hAnsi="Inter" w:cs="Arial"/>
        </w:rPr>
        <w:t xml:space="preserve">Adult Education </w:t>
      </w:r>
      <w:r w:rsidR="46D8D4BB" w:rsidRPr="2DFE4DF5">
        <w:rPr>
          <w:rFonts w:ascii="Inter" w:hAnsi="Inter" w:cs="Arial"/>
        </w:rPr>
        <w:t>expenditure budget</w:t>
      </w:r>
      <w:r w:rsidR="010469A5" w:rsidRPr="2DFE4DF5">
        <w:rPr>
          <w:rFonts w:ascii="Inter" w:hAnsi="Inter" w:cs="Arial"/>
        </w:rPr>
        <w:t xml:space="preserve">.  </w:t>
      </w:r>
      <w:r w:rsidR="1FCD67B5" w:rsidRPr="2DFE4DF5">
        <w:rPr>
          <w:rFonts w:ascii="Inter" w:hAnsi="Inter" w:cs="Arial"/>
        </w:rPr>
        <w:t>In the draft revenue budget proposals, there also includes a final transfer to earmarked reserves of £</w:t>
      </w:r>
      <w:r w:rsidR="008B7EC3" w:rsidRPr="2DFE4DF5">
        <w:rPr>
          <w:rFonts w:ascii="Inter" w:hAnsi="Inter" w:cs="Arial"/>
        </w:rPr>
        <w:t>4</w:t>
      </w:r>
      <w:r w:rsidR="00005A9E" w:rsidRPr="2DFE4DF5">
        <w:rPr>
          <w:rFonts w:ascii="Inter" w:hAnsi="Inter" w:cs="Arial"/>
        </w:rPr>
        <w:t>.</w:t>
      </w:r>
      <w:r w:rsidR="00B70368" w:rsidRPr="2DFE4DF5">
        <w:rPr>
          <w:rFonts w:ascii="Inter" w:hAnsi="Inter" w:cs="Arial"/>
        </w:rPr>
        <w:t>149</w:t>
      </w:r>
      <w:r w:rsidR="1FCD67B5" w:rsidRPr="2DFE4DF5">
        <w:rPr>
          <w:rFonts w:ascii="Inter" w:hAnsi="Inter" w:cs="Arial"/>
        </w:rPr>
        <w:t>m.  Of this, £0.5m relates to the transfer of the new budgetary provision for Mayoral elections for which a new earmarked reserve is proposed to be c</w:t>
      </w:r>
      <w:r w:rsidR="67106BAE" w:rsidRPr="2DFE4DF5">
        <w:rPr>
          <w:rFonts w:ascii="Inter" w:hAnsi="Inter" w:cs="Arial"/>
        </w:rPr>
        <w:t>reated.  The balance of £</w:t>
      </w:r>
      <w:r w:rsidR="001D0537" w:rsidRPr="2DFE4DF5">
        <w:rPr>
          <w:rFonts w:ascii="Inter" w:hAnsi="Inter" w:cs="Arial"/>
        </w:rPr>
        <w:t>3.</w:t>
      </w:r>
      <w:r w:rsidR="004D696E" w:rsidRPr="2DFE4DF5">
        <w:rPr>
          <w:rFonts w:ascii="Inter" w:hAnsi="Inter" w:cs="Arial"/>
        </w:rPr>
        <w:t>79</w:t>
      </w:r>
      <w:r w:rsidR="0004024D" w:rsidRPr="2DFE4DF5">
        <w:rPr>
          <w:rFonts w:ascii="Inter" w:hAnsi="Inter" w:cs="Arial"/>
        </w:rPr>
        <w:t>4</w:t>
      </w:r>
      <w:r w:rsidR="67106BAE" w:rsidRPr="2DFE4DF5">
        <w:rPr>
          <w:rFonts w:ascii="Inter" w:hAnsi="Inter" w:cs="Arial"/>
        </w:rPr>
        <w:t>m represents</w:t>
      </w:r>
      <w:r w:rsidR="00FF31CF" w:rsidRPr="2DFE4DF5">
        <w:rPr>
          <w:rFonts w:ascii="Inter" w:hAnsi="Inter" w:cs="Arial"/>
        </w:rPr>
        <w:t xml:space="preserve"> £1</w:t>
      </w:r>
      <w:r w:rsidR="00887706" w:rsidRPr="2DFE4DF5">
        <w:rPr>
          <w:rFonts w:ascii="Inter" w:hAnsi="Inter" w:cs="Arial"/>
        </w:rPr>
        <w:t>.</w:t>
      </w:r>
      <w:r w:rsidR="00FF31CF" w:rsidRPr="2DFE4DF5">
        <w:rPr>
          <w:rFonts w:ascii="Inter" w:hAnsi="Inter" w:cs="Arial"/>
        </w:rPr>
        <w:t>0</w:t>
      </w:r>
      <w:r w:rsidR="00887706" w:rsidRPr="2DFE4DF5">
        <w:rPr>
          <w:rFonts w:ascii="Inter" w:hAnsi="Inter" w:cs="Arial"/>
        </w:rPr>
        <w:t>2</w:t>
      </w:r>
      <w:r w:rsidR="00BF7576" w:rsidRPr="2DFE4DF5">
        <w:rPr>
          <w:rFonts w:ascii="Inter" w:hAnsi="Inter" w:cs="Arial"/>
        </w:rPr>
        <w:t>8</w:t>
      </w:r>
      <w:r w:rsidR="00887706" w:rsidRPr="2DFE4DF5">
        <w:rPr>
          <w:rFonts w:ascii="Inter" w:hAnsi="Inter" w:cs="Arial"/>
        </w:rPr>
        <w:t xml:space="preserve">m of the </w:t>
      </w:r>
      <w:r w:rsidR="0034487A" w:rsidRPr="2DFE4DF5">
        <w:rPr>
          <w:rFonts w:ascii="Inter" w:hAnsi="Inter" w:cs="Arial"/>
        </w:rPr>
        <w:t xml:space="preserve">lease wrap net income and </w:t>
      </w:r>
      <w:r w:rsidR="00B4411D" w:rsidRPr="2DFE4DF5">
        <w:rPr>
          <w:rFonts w:ascii="Inter" w:hAnsi="Inter" w:cs="Arial"/>
        </w:rPr>
        <w:t>£</w:t>
      </w:r>
      <w:r w:rsidR="0084318F" w:rsidRPr="2DFE4DF5">
        <w:rPr>
          <w:rFonts w:ascii="Inter" w:hAnsi="Inter" w:cs="Arial"/>
        </w:rPr>
        <w:t>2.</w:t>
      </w:r>
      <w:r w:rsidR="00BF7576" w:rsidRPr="2DFE4DF5">
        <w:rPr>
          <w:rFonts w:ascii="Inter" w:hAnsi="Inter" w:cs="Arial"/>
        </w:rPr>
        <w:t>621</w:t>
      </w:r>
      <w:r w:rsidR="00B4411D" w:rsidRPr="2DFE4DF5">
        <w:rPr>
          <w:rFonts w:ascii="Inter" w:hAnsi="Inter" w:cs="Arial"/>
        </w:rPr>
        <w:t>m</w:t>
      </w:r>
      <w:r w:rsidR="67106BAE" w:rsidRPr="2DFE4DF5">
        <w:rPr>
          <w:rFonts w:ascii="Inter" w:hAnsi="Inter" w:cs="Arial"/>
        </w:rPr>
        <w:t xml:space="preserve"> </w:t>
      </w:r>
      <w:r w:rsidR="03BB3B31" w:rsidRPr="2DFE4DF5">
        <w:rPr>
          <w:rFonts w:ascii="Inter" w:hAnsi="Inter" w:cs="Arial"/>
        </w:rPr>
        <w:t xml:space="preserve">relating to </w:t>
      </w:r>
      <w:r w:rsidR="67106BAE" w:rsidRPr="2DFE4DF5">
        <w:rPr>
          <w:rFonts w:ascii="Inter" w:hAnsi="Inter" w:cs="Arial"/>
        </w:rPr>
        <w:t>unallocated revenue income</w:t>
      </w:r>
      <w:r w:rsidR="189A7F8C" w:rsidRPr="2DFE4DF5">
        <w:rPr>
          <w:rFonts w:ascii="Inter" w:hAnsi="Inter" w:cs="Arial"/>
        </w:rPr>
        <w:t xml:space="preserve"> which may be allocated in the final budget proposals.</w:t>
      </w:r>
      <w:r w:rsidR="67106BAE" w:rsidRPr="2DFE4DF5">
        <w:rPr>
          <w:rFonts w:ascii="Inter" w:hAnsi="Inter" w:cs="Arial"/>
        </w:rPr>
        <w:t xml:space="preserve"> </w:t>
      </w:r>
    </w:p>
    <w:p w14:paraId="006280C2" w14:textId="77777777" w:rsidR="00D904FB" w:rsidRPr="009D7A02" w:rsidRDefault="00D904FB" w:rsidP="00924627">
      <w:pPr>
        <w:spacing w:line="276" w:lineRule="auto"/>
        <w:ind w:left="567" w:hanging="567"/>
        <w:rPr>
          <w:rFonts w:ascii="Inter" w:hAnsi="Inter" w:cs="Arial"/>
          <w:szCs w:val="22"/>
        </w:rPr>
      </w:pPr>
    </w:p>
    <w:p w14:paraId="0B557FA2" w14:textId="58C88D30" w:rsidR="006117DC" w:rsidRPr="00E847B6" w:rsidRDefault="00D904FB" w:rsidP="2DFE4DF5">
      <w:pPr>
        <w:pStyle w:val="ListParagraph"/>
        <w:numPr>
          <w:ilvl w:val="0"/>
          <w:numId w:val="3"/>
        </w:numPr>
        <w:spacing w:line="276" w:lineRule="auto"/>
        <w:ind w:left="567" w:hanging="567"/>
        <w:rPr>
          <w:rFonts w:ascii="Inter" w:hAnsi="Inter" w:cs="Arial"/>
        </w:rPr>
      </w:pPr>
      <w:r w:rsidRPr="2DFE4DF5">
        <w:rPr>
          <w:rFonts w:ascii="Inter" w:hAnsi="Inter" w:cs="Arial"/>
        </w:rPr>
        <w:lastRenderedPageBreak/>
        <w:t xml:space="preserve">The table below summarises the forecast </w:t>
      </w:r>
      <w:r w:rsidR="00DD7DD1" w:rsidRPr="2DFE4DF5">
        <w:rPr>
          <w:rFonts w:ascii="Inter" w:hAnsi="Inter" w:cs="Arial"/>
        </w:rPr>
        <w:t>Reserve</w:t>
      </w:r>
      <w:r w:rsidRPr="2DFE4DF5">
        <w:rPr>
          <w:rFonts w:ascii="Inter" w:hAnsi="Inter" w:cs="Arial"/>
        </w:rPr>
        <w:t xml:space="preserve"> position as at 1 April 2026, with Appendix </w:t>
      </w:r>
      <w:r w:rsidR="00E7728A" w:rsidRPr="2DFE4DF5">
        <w:rPr>
          <w:rFonts w:ascii="Inter" w:hAnsi="Inter" w:cs="Arial"/>
        </w:rPr>
        <w:t>4</w:t>
      </w:r>
      <w:r w:rsidRPr="2DFE4DF5">
        <w:rPr>
          <w:rFonts w:ascii="Inter" w:hAnsi="Inter" w:cs="Arial"/>
        </w:rPr>
        <w:t xml:space="preserve"> providing a fuller breakdown alongside planned use and contributions over the MTFP period.</w:t>
      </w:r>
    </w:p>
    <w:p w14:paraId="735A018A" w14:textId="5295965F" w:rsidR="53F2AFD0" w:rsidRDefault="53F2AFD0" w:rsidP="53F2AFD0">
      <w:pPr>
        <w:pStyle w:val="ListParagraph"/>
        <w:spacing w:line="276" w:lineRule="auto"/>
        <w:ind w:left="567" w:hanging="567"/>
        <w:rPr>
          <w:rFonts w:ascii="Inter" w:hAnsi="Inter" w:cs="Arial"/>
        </w:rPr>
      </w:pPr>
    </w:p>
    <w:p w14:paraId="29778C4B" w14:textId="52A2D961" w:rsidR="16FD5590" w:rsidRPr="009D7A02" w:rsidRDefault="00F05FAC" w:rsidP="16FD5590">
      <w:pPr>
        <w:spacing w:line="276" w:lineRule="auto"/>
        <w:ind w:left="567"/>
        <w:jc w:val="center"/>
        <w:rPr>
          <w:rFonts w:ascii="Inter" w:hAnsi="Inter" w:cs="Arial"/>
          <w:b/>
          <w:bCs/>
        </w:rPr>
      </w:pPr>
      <w:r w:rsidRPr="009D7A02">
        <w:rPr>
          <w:rFonts w:ascii="Inter" w:hAnsi="Inter" w:cs="Arial"/>
          <w:b/>
          <w:bCs/>
        </w:rPr>
        <w:t xml:space="preserve">Table </w:t>
      </w:r>
      <w:r w:rsidR="00155265">
        <w:rPr>
          <w:rFonts w:ascii="Inter" w:hAnsi="Inter" w:cs="Arial"/>
          <w:b/>
          <w:bCs/>
        </w:rPr>
        <w:t>1</w:t>
      </w:r>
      <w:r w:rsidR="009C75B5">
        <w:rPr>
          <w:rFonts w:ascii="Inter" w:hAnsi="Inter" w:cs="Arial"/>
          <w:b/>
          <w:bCs/>
        </w:rPr>
        <w:t>7</w:t>
      </w:r>
      <w:r w:rsidRPr="009D7A02">
        <w:rPr>
          <w:rFonts w:ascii="Inter" w:hAnsi="Inter" w:cs="Arial"/>
          <w:b/>
          <w:bCs/>
        </w:rPr>
        <w:t xml:space="preserve"> – </w:t>
      </w:r>
      <w:r w:rsidR="004238B6" w:rsidRPr="009D7A02">
        <w:rPr>
          <w:rFonts w:ascii="Inter" w:hAnsi="Inter" w:cs="Arial"/>
          <w:b/>
          <w:bCs/>
        </w:rPr>
        <w:t xml:space="preserve">Revenue </w:t>
      </w:r>
      <w:r w:rsidRPr="009D7A02">
        <w:rPr>
          <w:rFonts w:ascii="Inter" w:hAnsi="Inter" w:cs="Arial"/>
          <w:b/>
          <w:bCs/>
        </w:rPr>
        <w:t>Reserve</w:t>
      </w:r>
      <w:r w:rsidR="3C507F6B" w:rsidRPr="009D7A02">
        <w:rPr>
          <w:rFonts w:ascii="Inter" w:hAnsi="Inter" w:cs="Arial"/>
          <w:b/>
          <w:bCs/>
        </w:rPr>
        <w:t>s</w:t>
      </w:r>
      <w:r w:rsidRPr="009D7A02">
        <w:rPr>
          <w:rFonts w:ascii="Inter" w:hAnsi="Inter" w:cs="Arial"/>
          <w:b/>
          <w:bCs/>
        </w:rPr>
        <w:t xml:space="preserve"> Summary 20</w:t>
      </w:r>
      <w:r w:rsidR="004238B6" w:rsidRPr="009D7A02">
        <w:rPr>
          <w:rFonts w:ascii="Inter" w:hAnsi="Inter" w:cs="Arial"/>
          <w:b/>
          <w:bCs/>
        </w:rPr>
        <w:t>26</w:t>
      </w:r>
      <w:r w:rsidR="64369E90" w:rsidRPr="009D7A02">
        <w:rPr>
          <w:rFonts w:ascii="Inter" w:hAnsi="Inter" w:cs="Arial"/>
          <w:b/>
          <w:bCs/>
        </w:rPr>
        <w:t>/</w:t>
      </w:r>
      <w:r w:rsidR="004238B6" w:rsidRPr="009D7A02">
        <w:rPr>
          <w:rFonts w:ascii="Inter" w:hAnsi="Inter" w:cs="Arial"/>
          <w:b/>
          <w:bCs/>
        </w:rPr>
        <w:t>27</w:t>
      </w:r>
    </w:p>
    <w:p w14:paraId="4EF30130" w14:textId="0A0A7273" w:rsidR="16FD5590" w:rsidRPr="009D7A02" w:rsidRDefault="16FD5590" w:rsidP="16FD5590">
      <w:pPr>
        <w:spacing w:line="276" w:lineRule="auto"/>
        <w:ind w:left="567"/>
        <w:jc w:val="center"/>
        <w:rPr>
          <w:rFonts w:ascii="Inter" w:hAnsi="Inter" w:cs="Arial"/>
          <w:b/>
          <w:bCs/>
        </w:rPr>
      </w:pPr>
    </w:p>
    <w:tbl>
      <w:tblPr>
        <w:tblW w:w="8900" w:type="dxa"/>
        <w:jc w:val="center"/>
        <w:tblLook w:val="06A0" w:firstRow="1" w:lastRow="0" w:firstColumn="1" w:lastColumn="0" w:noHBand="1" w:noVBand="1"/>
      </w:tblPr>
      <w:tblGrid>
        <w:gridCol w:w="4712"/>
        <w:gridCol w:w="1417"/>
        <w:gridCol w:w="1515"/>
        <w:gridCol w:w="1256"/>
      </w:tblGrid>
      <w:tr w:rsidR="00B043A4" w:rsidRPr="009D7A02" w14:paraId="706CD679" w14:textId="77777777" w:rsidTr="7DC21327">
        <w:trPr>
          <w:trHeight w:val="765"/>
          <w:jc w:val="center"/>
        </w:trPr>
        <w:tc>
          <w:tcPr>
            <w:tcW w:w="4712" w:type="dxa"/>
            <w:tcBorders>
              <w:top w:val="single" w:sz="12" w:space="0" w:color="auto"/>
              <w:left w:val="single" w:sz="12" w:space="0" w:color="auto"/>
              <w:bottom w:val="nil"/>
              <w:right w:val="single" w:sz="12" w:space="0" w:color="auto"/>
            </w:tcBorders>
            <w:shd w:val="clear" w:color="auto" w:fill="D0D0D0" w:themeFill="accent2" w:themeFillTint="99"/>
          </w:tcPr>
          <w:p w14:paraId="1BC40DA6" w14:textId="3361FB13" w:rsidR="16FD5590" w:rsidRPr="00A542C5" w:rsidRDefault="16FD5590" w:rsidP="16FD5590">
            <w:pPr>
              <w:jc w:val="center"/>
              <w:rPr>
                <w:sz w:val="20"/>
                <w:szCs w:val="20"/>
              </w:rPr>
            </w:pPr>
            <w:r w:rsidRPr="00A542C5">
              <w:rPr>
                <w:rFonts w:eastAsia="Inter Light" w:cs="Inter Light"/>
                <w:b/>
                <w:bCs/>
                <w:sz w:val="20"/>
                <w:szCs w:val="20"/>
              </w:rPr>
              <w:t>Revenue Reserve Description</w:t>
            </w:r>
            <w:r w:rsidRPr="00A542C5">
              <w:rPr>
                <w:rFonts w:eastAsia="Inter Light" w:cs="Inter Light"/>
                <w:b/>
                <w:bCs/>
                <w:color w:val="FF0000"/>
                <w:sz w:val="20"/>
                <w:szCs w:val="20"/>
              </w:rPr>
              <w:t xml:space="preserve"> </w:t>
            </w:r>
          </w:p>
        </w:tc>
        <w:tc>
          <w:tcPr>
            <w:tcW w:w="1417" w:type="dxa"/>
            <w:tcBorders>
              <w:top w:val="single" w:sz="12" w:space="0" w:color="auto"/>
              <w:left w:val="single" w:sz="12" w:space="0" w:color="auto"/>
              <w:bottom w:val="nil"/>
              <w:right w:val="single" w:sz="4" w:space="0" w:color="auto"/>
            </w:tcBorders>
            <w:shd w:val="clear" w:color="auto" w:fill="D0D0D0" w:themeFill="accent2" w:themeFillTint="99"/>
          </w:tcPr>
          <w:p w14:paraId="60C8F3FC" w14:textId="33C2D8A2" w:rsidR="16FD5590" w:rsidRPr="00A542C5" w:rsidRDefault="16FD5590" w:rsidP="16FD5590">
            <w:pPr>
              <w:jc w:val="center"/>
              <w:rPr>
                <w:sz w:val="20"/>
                <w:szCs w:val="20"/>
              </w:rPr>
            </w:pPr>
            <w:r w:rsidRPr="00A542C5">
              <w:rPr>
                <w:rFonts w:eastAsia="Inter Light" w:cs="Inter Light"/>
                <w:b/>
                <w:bCs/>
                <w:sz w:val="20"/>
                <w:szCs w:val="20"/>
              </w:rPr>
              <w:t>Balance as at 01/04/2026</w:t>
            </w:r>
          </w:p>
        </w:tc>
        <w:tc>
          <w:tcPr>
            <w:tcW w:w="1515" w:type="dxa"/>
            <w:tcBorders>
              <w:top w:val="single" w:sz="12" w:space="0" w:color="auto"/>
              <w:left w:val="single" w:sz="4" w:space="0" w:color="auto"/>
              <w:bottom w:val="nil"/>
              <w:right w:val="single" w:sz="4" w:space="0" w:color="auto"/>
            </w:tcBorders>
            <w:shd w:val="clear" w:color="auto" w:fill="D0D0D0" w:themeFill="accent2" w:themeFillTint="99"/>
          </w:tcPr>
          <w:p w14:paraId="74BB008D" w14:textId="6B4DE6D0" w:rsidR="16FD5590" w:rsidRPr="00A542C5" w:rsidRDefault="16FD5590" w:rsidP="16FD5590">
            <w:pPr>
              <w:jc w:val="center"/>
              <w:rPr>
                <w:sz w:val="20"/>
                <w:szCs w:val="20"/>
              </w:rPr>
            </w:pPr>
            <w:r w:rsidRPr="00A542C5">
              <w:rPr>
                <w:rFonts w:eastAsia="Inter Light" w:cs="Inter Light"/>
                <w:b/>
                <w:bCs/>
                <w:sz w:val="20"/>
                <w:szCs w:val="20"/>
              </w:rPr>
              <w:t>Forecast (Use</w:t>
            </w:r>
            <w:r w:rsidR="62654031" w:rsidRPr="12889B77">
              <w:rPr>
                <w:rFonts w:eastAsia="Inter Light" w:cs="Inter Light"/>
                <w:b/>
                <w:bCs/>
                <w:sz w:val="20"/>
                <w:szCs w:val="20"/>
              </w:rPr>
              <w:t>)/</w:t>
            </w:r>
            <w:r w:rsidRPr="00A542C5">
              <w:rPr>
                <w:rFonts w:eastAsia="Inter Light" w:cs="Inter Light"/>
                <w:b/>
                <w:bCs/>
                <w:sz w:val="20"/>
                <w:szCs w:val="20"/>
              </w:rPr>
              <w:t xml:space="preserve"> Contribution</w:t>
            </w:r>
          </w:p>
        </w:tc>
        <w:tc>
          <w:tcPr>
            <w:tcW w:w="1256" w:type="dxa"/>
            <w:tcBorders>
              <w:top w:val="single" w:sz="12" w:space="0" w:color="auto"/>
              <w:left w:val="single" w:sz="4" w:space="0" w:color="auto"/>
              <w:bottom w:val="nil"/>
              <w:right w:val="single" w:sz="12" w:space="0" w:color="auto"/>
            </w:tcBorders>
            <w:shd w:val="clear" w:color="auto" w:fill="D0D0D0" w:themeFill="accent2" w:themeFillTint="99"/>
          </w:tcPr>
          <w:p w14:paraId="4CFD735B" w14:textId="1DBCF66F" w:rsidR="16FD5590" w:rsidRPr="00A542C5" w:rsidRDefault="16FD5590" w:rsidP="16FD5590">
            <w:pPr>
              <w:jc w:val="center"/>
              <w:rPr>
                <w:sz w:val="20"/>
                <w:szCs w:val="20"/>
              </w:rPr>
            </w:pPr>
            <w:r w:rsidRPr="00A542C5">
              <w:rPr>
                <w:rFonts w:eastAsia="Inter Light" w:cs="Inter Light"/>
                <w:b/>
                <w:bCs/>
                <w:sz w:val="20"/>
                <w:szCs w:val="20"/>
              </w:rPr>
              <w:t>Balance as at 31/3/2027</w:t>
            </w:r>
          </w:p>
        </w:tc>
      </w:tr>
      <w:tr w:rsidR="00B043A4" w:rsidRPr="009D7A02" w14:paraId="2A1BE646" w14:textId="77777777" w:rsidTr="7DC21327">
        <w:trPr>
          <w:trHeight w:val="225"/>
          <w:jc w:val="center"/>
        </w:trPr>
        <w:tc>
          <w:tcPr>
            <w:tcW w:w="4712" w:type="dxa"/>
            <w:tcBorders>
              <w:top w:val="nil"/>
              <w:left w:val="single" w:sz="12" w:space="0" w:color="auto"/>
              <w:bottom w:val="single" w:sz="12" w:space="0" w:color="auto"/>
              <w:right w:val="single" w:sz="12" w:space="0" w:color="auto"/>
            </w:tcBorders>
            <w:shd w:val="clear" w:color="auto" w:fill="D0D0D0" w:themeFill="accent2" w:themeFillTint="99"/>
            <w:vAlign w:val="bottom"/>
          </w:tcPr>
          <w:p w14:paraId="2BCB888B" w14:textId="6C2BDFF0" w:rsidR="16FD5590" w:rsidRPr="00A542C5" w:rsidRDefault="16FD5590" w:rsidP="16FD5590">
            <w:pPr>
              <w:rPr>
                <w:sz w:val="20"/>
                <w:szCs w:val="20"/>
              </w:rPr>
            </w:pPr>
            <w:r w:rsidRPr="00A542C5">
              <w:rPr>
                <w:rFonts w:eastAsia="Inter Light" w:cs="Inter Light"/>
                <w:b/>
                <w:bCs/>
                <w:color w:val="FF0000"/>
                <w:sz w:val="20"/>
                <w:szCs w:val="20"/>
              </w:rPr>
              <w:t xml:space="preserve"> </w:t>
            </w:r>
          </w:p>
        </w:tc>
        <w:tc>
          <w:tcPr>
            <w:tcW w:w="1417" w:type="dxa"/>
            <w:tcBorders>
              <w:top w:val="nil"/>
              <w:left w:val="single" w:sz="12" w:space="0" w:color="auto"/>
              <w:bottom w:val="single" w:sz="12" w:space="0" w:color="auto"/>
              <w:right w:val="single" w:sz="4" w:space="0" w:color="auto"/>
            </w:tcBorders>
            <w:shd w:val="clear" w:color="auto" w:fill="D0D0D0" w:themeFill="accent2" w:themeFillTint="99"/>
            <w:vAlign w:val="bottom"/>
          </w:tcPr>
          <w:p w14:paraId="72EA0B13" w14:textId="187FA2E0" w:rsidR="16FD5590" w:rsidRPr="00A542C5" w:rsidRDefault="16FD5590" w:rsidP="16FD5590">
            <w:pPr>
              <w:jc w:val="center"/>
              <w:rPr>
                <w:sz w:val="20"/>
                <w:szCs w:val="20"/>
              </w:rPr>
            </w:pPr>
            <w:r w:rsidRPr="00A542C5">
              <w:rPr>
                <w:rFonts w:eastAsia="Inter Light" w:cs="Inter Light"/>
                <w:b/>
                <w:bCs/>
                <w:sz w:val="20"/>
                <w:szCs w:val="20"/>
              </w:rPr>
              <w:t>£'000</w:t>
            </w:r>
          </w:p>
        </w:tc>
        <w:tc>
          <w:tcPr>
            <w:tcW w:w="1515" w:type="dxa"/>
            <w:tcBorders>
              <w:top w:val="nil"/>
              <w:left w:val="single" w:sz="4" w:space="0" w:color="auto"/>
              <w:bottom w:val="single" w:sz="12" w:space="0" w:color="auto"/>
              <w:right w:val="single" w:sz="4" w:space="0" w:color="auto"/>
            </w:tcBorders>
            <w:shd w:val="clear" w:color="auto" w:fill="D0D0D0" w:themeFill="accent2" w:themeFillTint="99"/>
            <w:vAlign w:val="bottom"/>
          </w:tcPr>
          <w:p w14:paraId="4C212A95" w14:textId="25C4FAC3" w:rsidR="16FD5590" w:rsidRPr="00A542C5" w:rsidRDefault="16FD5590" w:rsidP="16FD5590">
            <w:pPr>
              <w:jc w:val="center"/>
              <w:rPr>
                <w:sz w:val="20"/>
                <w:szCs w:val="20"/>
              </w:rPr>
            </w:pPr>
            <w:r w:rsidRPr="00A542C5">
              <w:rPr>
                <w:rFonts w:eastAsia="Inter Light" w:cs="Inter Light"/>
                <w:b/>
                <w:bCs/>
                <w:sz w:val="20"/>
                <w:szCs w:val="20"/>
              </w:rPr>
              <w:t>£'000</w:t>
            </w:r>
          </w:p>
        </w:tc>
        <w:tc>
          <w:tcPr>
            <w:tcW w:w="1256" w:type="dxa"/>
            <w:tcBorders>
              <w:top w:val="nil"/>
              <w:left w:val="single" w:sz="4" w:space="0" w:color="auto"/>
              <w:bottom w:val="single" w:sz="12" w:space="0" w:color="auto"/>
              <w:right w:val="single" w:sz="12" w:space="0" w:color="auto"/>
            </w:tcBorders>
            <w:shd w:val="clear" w:color="auto" w:fill="D0D0D0" w:themeFill="accent2" w:themeFillTint="99"/>
            <w:vAlign w:val="bottom"/>
          </w:tcPr>
          <w:p w14:paraId="6A107DD9" w14:textId="4628E7B5" w:rsidR="16FD5590" w:rsidRPr="00A542C5" w:rsidRDefault="16FD5590" w:rsidP="16FD5590">
            <w:pPr>
              <w:jc w:val="center"/>
              <w:rPr>
                <w:sz w:val="20"/>
                <w:szCs w:val="20"/>
              </w:rPr>
            </w:pPr>
            <w:r w:rsidRPr="00A542C5">
              <w:rPr>
                <w:rFonts w:eastAsia="Inter Light" w:cs="Inter Light"/>
                <w:b/>
                <w:bCs/>
                <w:sz w:val="20"/>
                <w:szCs w:val="20"/>
              </w:rPr>
              <w:t>£'000</w:t>
            </w:r>
          </w:p>
        </w:tc>
      </w:tr>
      <w:tr w:rsidR="16FD5590" w:rsidRPr="009D7A02" w14:paraId="5BDAA403" w14:textId="77777777" w:rsidTr="7DC21327">
        <w:trPr>
          <w:trHeight w:val="315"/>
          <w:jc w:val="center"/>
        </w:trPr>
        <w:tc>
          <w:tcPr>
            <w:tcW w:w="4712" w:type="dxa"/>
            <w:tcBorders>
              <w:top w:val="single" w:sz="12" w:space="0" w:color="auto"/>
              <w:left w:val="single" w:sz="12" w:space="0" w:color="auto"/>
              <w:bottom w:val="single" w:sz="12" w:space="0" w:color="auto"/>
              <w:right w:val="single" w:sz="12" w:space="0" w:color="auto"/>
            </w:tcBorders>
            <w:vAlign w:val="bottom"/>
          </w:tcPr>
          <w:p w14:paraId="4C5B7B83" w14:textId="55D7593E" w:rsidR="16FD5590" w:rsidRPr="00A542C5" w:rsidRDefault="16FD5590" w:rsidP="16FD5590">
            <w:pPr>
              <w:rPr>
                <w:sz w:val="20"/>
                <w:szCs w:val="20"/>
              </w:rPr>
            </w:pPr>
            <w:r w:rsidRPr="00A542C5">
              <w:rPr>
                <w:rFonts w:eastAsia="Inter Light" w:cs="Inter Light"/>
                <w:sz w:val="20"/>
                <w:szCs w:val="20"/>
              </w:rPr>
              <w:t>General Fund</w:t>
            </w:r>
          </w:p>
        </w:tc>
        <w:tc>
          <w:tcPr>
            <w:tcW w:w="1417" w:type="dxa"/>
            <w:tcBorders>
              <w:top w:val="single" w:sz="12" w:space="0" w:color="auto"/>
              <w:left w:val="single" w:sz="12" w:space="0" w:color="auto"/>
              <w:bottom w:val="single" w:sz="12" w:space="0" w:color="auto"/>
              <w:right w:val="single" w:sz="4" w:space="0" w:color="auto"/>
            </w:tcBorders>
            <w:vAlign w:val="center"/>
          </w:tcPr>
          <w:p w14:paraId="6D55B9A2" w14:textId="2EDC7437" w:rsidR="16FD5590" w:rsidRPr="00A542C5" w:rsidRDefault="16FD5590" w:rsidP="16FD5590">
            <w:pPr>
              <w:jc w:val="right"/>
              <w:rPr>
                <w:sz w:val="20"/>
                <w:szCs w:val="20"/>
              </w:rPr>
            </w:pPr>
            <w:r w:rsidRPr="00A542C5">
              <w:rPr>
                <w:rFonts w:eastAsia="Inter Light" w:cs="Inter Light"/>
                <w:sz w:val="20"/>
                <w:szCs w:val="20"/>
              </w:rPr>
              <w:t>1,058</w:t>
            </w:r>
          </w:p>
        </w:tc>
        <w:tc>
          <w:tcPr>
            <w:tcW w:w="1515" w:type="dxa"/>
            <w:tcBorders>
              <w:top w:val="single" w:sz="12" w:space="0" w:color="auto"/>
              <w:left w:val="single" w:sz="4" w:space="0" w:color="auto"/>
              <w:bottom w:val="single" w:sz="12" w:space="0" w:color="auto"/>
              <w:right w:val="single" w:sz="4" w:space="0" w:color="auto"/>
            </w:tcBorders>
            <w:vAlign w:val="center"/>
          </w:tcPr>
          <w:p w14:paraId="5F91A0D6" w14:textId="5903C415" w:rsidR="16FD5590" w:rsidRPr="00A542C5" w:rsidRDefault="16FD5590" w:rsidP="16FD5590">
            <w:pPr>
              <w:jc w:val="right"/>
              <w:rPr>
                <w:sz w:val="20"/>
                <w:szCs w:val="20"/>
              </w:rPr>
            </w:pPr>
            <w:r w:rsidRPr="00A542C5">
              <w:rPr>
                <w:rFonts w:eastAsia="Inter Light" w:cs="Inter Light"/>
                <w:sz w:val="20"/>
                <w:szCs w:val="20"/>
              </w:rPr>
              <w:t>-</w:t>
            </w:r>
          </w:p>
        </w:tc>
        <w:tc>
          <w:tcPr>
            <w:tcW w:w="1256" w:type="dxa"/>
            <w:tcBorders>
              <w:top w:val="single" w:sz="12" w:space="0" w:color="auto"/>
              <w:left w:val="single" w:sz="4" w:space="0" w:color="auto"/>
              <w:bottom w:val="single" w:sz="12" w:space="0" w:color="auto"/>
              <w:right w:val="single" w:sz="12" w:space="0" w:color="auto"/>
            </w:tcBorders>
            <w:vAlign w:val="center"/>
          </w:tcPr>
          <w:p w14:paraId="12F7B6EB" w14:textId="7C71EB63" w:rsidR="16FD5590" w:rsidRPr="00A542C5" w:rsidRDefault="16FD5590" w:rsidP="16FD5590">
            <w:pPr>
              <w:jc w:val="right"/>
              <w:rPr>
                <w:sz w:val="20"/>
                <w:szCs w:val="20"/>
              </w:rPr>
            </w:pPr>
            <w:r w:rsidRPr="00A542C5">
              <w:rPr>
                <w:rFonts w:eastAsia="Inter Light" w:cs="Inter Light"/>
                <w:sz w:val="20"/>
                <w:szCs w:val="20"/>
              </w:rPr>
              <w:t>1,058</w:t>
            </w:r>
          </w:p>
        </w:tc>
      </w:tr>
      <w:tr w:rsidR="00B043A4" w:rsidRPr="009D7A02" w14:paraId="3544D589" w14:textId="77777777" w:rsidTr="7DC21327">
        <w:trPr>
          <w:trHeight w:val="315"/>
          <w:jc w:val="center"/>
        </w:trPr>
        <w:tc>
          <w:tcPr>
            <w:tcW w:w="4712" w:type="dxa"/>
            <w:tcBorders>
              <w:top w:val="single" w:sz="12" w:space="0" w:color="auto"/>
              <w:left w:val="single" w:sz="12" w:space="0" w:color="auto"/>
              <w:bottom w:val="nil"/>
              <w:right w:val="single" w:sz="12" w:space="0" w:color="auto"/>
            </w:tcBorders>
            <w:shd w:val="clear" w:color="auto" w:fill="D0D0D0" w:themeFill="accent2" w:themeFillTint="99"/>
            <w:vAlign w:val="bottom"/>
          </w:tcPr>
          <w:p w14:paraId="3E958C0E" w14:textId="41D01720" w:rsidR="16FD5590" w:rsidRPr="00A542C5" w:rsidRDefault="16FD5590" w:rsidP="16FD5590">
            <w:pPr>
              <w:rPr>
                <w:rFonts w:eastAsia="Inter Light" w:cs="Inter Light"/>
                <w:b/>
                <w:bCs/>
                <w:sz w:val="20"/>
                <w:szCs w:val="20"/>
              </w:rPr>
            </w:pPr>
            <w:r w:rsidRPr="00A542C5">
              <w:rPr>
                <w:rFonts w:eastAsia="Inter Light" w:cs="Inter Light"/>
                <w:b/>
                <w:bCs/>
                <w:sz w:val="20"/>
                <w:szCs w:val="20"/>
              </w:rPr>
              <w:t>General Fund Total</w:t>
            </w:r>
          </w:p>
        </w:tc>
        <w:tc>
          <w:tcPr>
            <w:tcW w:w="1417" w:type="dxa"/>
            <w:tcBorders>
              <w:top w:val="single" w:sz="12" w:space="0" w:color="auto"/>
              <w:left w:val="single" w:sz="12" w:space="0" w:color="auto"/>
              <w:bottom w:val="nil"/>
              <w:right w:val="single" w:sz="4" w:space="0" w:color="auto"/>
            </w:tcBorders>
            <w:shd w:val="clear" w:color="auto" w:fill="D0D0D0" w:themeFill="accent2" w:themeFillTint="99"/>
            <w:vAlign w:val="center"/>
          </w:tcPr>
          <w:p w14:paraId="4689EFFE" w14:textId="2E569A70" w:rsidR="16FD5590" w:rsidRPr="00A542C5" w:rsidRDefault="16FD5590" w:rsidP="16FD5590">
            <w:pPr>
              <w:jc w:val="right"/>
              <w:rPr>
                <w:rFonts w:eastAsia="Inter Light" w:cs="Inter Light"/>
                <w:b/>
                <w:bCs/>
                <w:sz w:val="20"/>
                <w:szCs w:val="20"/>
              </w:rPr>
            </w:pPr>
            <w:r w:rsidRPr="00A542C5">
              <w:rPr>
                <w:rFonts w:eastAsia="Inter Light" w:cs="Inter Light"/>
                <w:b/>
                <w:bCs/>
                <w:sz w:val="20"/>
                <w:szCs w:val="20"/>
              </w:rPr>
              <w:t>1,058</w:t>
            </w:r>
          </w:p>
        </w:tc>
        <w:tc>
          <w:tcPr>
            <w:tcW w:w="1515" w:type="dxa"/>
            <w:tcBorders>
              <w:top w:val="single" w:sz="12" w:space="0" w:color="auto"/>
              <w:left w:val="single" w:sz="4" w:space="0" w:color="auto"/>
              <w:bottom w:val="nil"/>
              <w:right w:val="single" w:sz="4" w:space="0" w:color="auto"/>
            </w:tcBorders>
            <w:shd w:val="clear" w:color="auto" w:fill="D0D0D0" w:themeFill="accent2" w:themeFillTint="99"/>
            <w:vAlign w:val="center"/>
          </w:tcPr>
          <w:p w14:paraId="12DC18FF" w14:textId="69D23101" w:rsidR="16FD5590" w:rsidRPr="00A542C5" w:rsidRDefault="16FD5590" w:rsidP="16FD5590">
            <w:pPr>
              <w:jc w:val="right"/>
              <w:rPr>
                <w:rFonts w:eastAsia="Inter Light" w:cs="Inter Light"/>
                <w:b/>
                <w:bCs/>
                <w:sz w:val="20"/>
                <w:szCs w:val="20"/>
              </w:rPr>
            </w:pPr>
            <w:r w:rsidRPr="00A542C5">
              <w:rPr>
                <w:rFonts w:eastAsia="Inter Light" w:cs="Inter Light"/>
                <w:b/>
                <w:bCs/>
                <w:sz w:val="20"/>
                <w:szCs w:val="20"/>
              </w:rPr>
              <w:t>-</w:t>
            </w:r>
          </w:p>
        </w:tc>
        <w:tc>
          <w:tcPr>
            <w:tcW w:w="1256" w:type="dxa"/>
            <w:tcBorders>
              <w:top w:val="single" w:sz="12" w:space="0" w:color="auto"/>
              <w:left w:val="single" w:sz="4" w:space="0" w:color="auto"/>
              <w:bottom w:val="nil"/>
              <w:right w:val="single" w:sz="12" w:space="0" w:color="auto"/>
            </w:tcBorders>
            <w:shd w:val="clear" w:color="auto" w:fill="D0D0D0" w:themeFill="accent2" w:themeFillTint="99"/>
            <w:vAlign w:val="center"/>
          </w:tcPr>
          <w:p w14:paraId="5ECEC262" w14:textId="0626CA97" w:rsidR="16FD5590" w:rsidRPr="00A542C5" w:rsidRDefault="16FD5590" w:rsidP="16FD5590">
            <w:pPr>
              <w:jc w:val="right"/>
              <w:rPr>
                <w:rFonts w:eastAsia="Inter Light" w:cs="Inter Light"/>
                <w:b/>
                <w:bCs/>
                <w:sz w:val="20"/>
                <w:szCs w:val="20"/>
              </w:rPr>
            </w:pPr>
            <w:r w:rsidRPr="00A542C5">
              <w:rPr>
                <w:rFonts w:eastAsia="Inter Light" w:cs="Inter Light"/>
                <w:b/>
                <w:bCs/>
                <w:sz w:val="20"/>
                <w:szCs w:val="20"/>
              </w:rPr>
              <w:t>1,058</w:t>
            </w:r>
          </w:p>
        </w:tc>
      </w:tr>
      <w:tr w:rsidR="16FD5590" w:rsidRPr="009D7A02" w14:paraId="4DA73846" w14:textId="77777777" w:rsidTr="7DC21327">
        <w:trPr>
          <w:trHeight w:val="315"/>
          <w:jc w:val="center"/>
        </w:trPr>
        <w:tc>
          <w:tcPr>
            <w:tcW w:w="4712" w:type="dxa"/>
            <w:tcBorders>
              <w:top w:val="single" w:sz="12" w:space="0" w:color="auto"/>
              <w:left w:val="single" w:sz="12" w:space="0" w:color="auto"/>
              <w:bottom w:val="single" w:sz="12" w:space="0" w:color="auto"/>
              <w:right w:val="single" w:sz="12" w:space="0" w:color="auto"/>
            </w:tcBorders>
            <w:vAlign w:val="bottom"/>
          </w:tcPr>
          <w:p w14:paraId="1E96B22F" w14:textId="2CCD0124" w:rsidR="16FD5590" w:rsidRPr="00A542C5" w:rsidRDefault="16FD5590" w:rsidP="16FD5590">
            <w:pPr>
              <w:rPr>
                <w:sz w:val="20"/>
                <w:szCs w:val="20"/>
              </w:rPr>
            </w:pPr>
            <w:r w:rsidRPr="00A542C5">
              <w:rPr>
                <w:rFonts w:eastAsia="Inter Light" w:cs="Inter Light"/>
                <w:sz w:val="20"/>
                <w:szCs w:val="20"/>
              </w:rPr>
              <w:t xml:space="preserve">Earmarked Grant Reserves - Ringfenced </w:t>
            </w:r>
          </w:p>
        </w:tc>
        <w:tc>
          <w:tcPr>
            <w:tcW w:w="1417" w:type="dxa"/>
            <w:tcBorders>
              <w:top w:val="single" w:sz="12" w:space="0" w:color="auto"/>
              <w:left w:val="single" w:sz="12" w:space="0" w:color="auto"/>
              <w:bottom w:val="single" w:sz="12" w:space="0" w:color="auto"/>
              <w:right w:val="single" w:sz="4" w:space="0" w:color="auto"/>
            </w:tcBorders>
            <w:vAlign w:val="center"/>
          </w:tcPr>
          <w:p w14:paraId="18D909C3" w14:textId="55DC1843" w:rsidR="16FD5590" w:rsidRPr="00A542C5" w:rsidRDefault="16FD5590" w:rsidP="16FD5590">
            <w:pPr>
              <w:jc w:val="right"/>
              <w:rPr>
                <w:sz w:val="20"/>
                <w:szCs w:val="20"/>
              </w:rPr>
            </w:pPr>
            <w:r w:rsidRPr="00A542C5">
              <w:rPr>
                <w:rFonts w:eastAsia="Inter Light" w:cs="Inter Light"/>
                <w:sz w:val="20"/>
                <w:szCs w:val="20"/>
              </w:rPr>
              <w:t>13,608</w:t>
            </w:r>
          </w:p>
        </w:tc>
        <w:tc>
          <w:tcPr>
            <w:tcW w:w="1515" w:type="dxa"/>
            <w:tcBorders>
              <w:top w:val="single" w:sz="12" w:space="0" w:color="auto"/>
              <w:left w:val="single" w:sz="4" w:space="0" w:color="auto"/>
              <w:bottom w:val="single" w:sz="12" w:space="0" w:color="auto"/>
              <w:right w:val="single" w:sz="4" w:space="0" w:color="auto"/>
            </w:tcBorders>
            <w:vAlign w:val="center"/>
          </w:tcPr>
          <w:p w14:paraId="39A81B02" w14:textId="779BACA9" w:rsidR="16FD5590" w:rsidRPr="00A542C5" w:rsidRDefault="16FD5590" w:rsidP="16FD5590">
            <w:pPr>
              <w:jc w:val="right"/>
              <w:rPr>
                <w:sz w:val="20"/>
                <w:szCs w:val="20"/>
              </w:rPr>
            </w:pPr>
            <w:r w:rsidRPr="00A542C5">
              <w:rPr>
                <w:rFonts w:eastAsia="Inter Light" w:cs="Inter Light"/>
                <w:sz w:val="20"/>
                <w:szCs w:val="20"/>
              </w:rPr>
              <w:t>(2,497)</w:t>
            </w:r>
          </w:p>
        </w:tc>
        <w:tc>
          <w:tcPr>
            <w:tcW w:w="1256" w:type="dxa"/>
            <w:tcBorders>
              <w:top w:val="single" w:sz="12" w:space="0" w:color="auto"/>
              <w:left w:val="single" w:sz="4" w:space="0" w:color="auto"/>
              <w:bottom w:val="single" w:sz="12" w:space="0" w:color="auto"/>
              <w:right w:val="single" w:sz="12" w:space="0" w:color="auto"/>
            </w:tcBorders>
            <w:vAlign w:val="center"/>
          </w:tcPr>
          <w:p w14:paraId="07D1D12E" w14:textId="69C0C478" w:rsidR="16FD5590" w:rsidRPr="00A542C5" w:rsidRDefault="16FD5590" w:rsidP="16FD5590">
            <w:pPr>
              <w:jc w:val="right"/>
              <w:rPr>
                <w:sz w:val="20"/>
                <w:szCs w:val="20"/>
              </w:rPr>
            </w:pPr>
            <w:r w:rsidRPr="00A542C5">
              <w:rPr>
                <w:rFonts w:eastAsia="Inter Light" w:cs="Inter Light"/>
                <w:sz w:val="20"/>
                <w:szCs w:val="20"/>
              </w:rPr>
              <w:t>11,111</w:t>
            </w:r>
          </w:p>
        </w:tc>
      </w:tr>
      <w:tr w:rsidR="00B043A4" w:rsidRPr="009D7A02" w14:paraId="4F59AC6F" w14:textId="77777777" w:rsidTr="7DC21327">
        <w:trPr>
          <w:trHeight w:val="315"/>
          <w:jc w:val="center"/>
        </w:trPr>
        <w:tc>
          <w:tcPr>
            <w:tcW w:w="4712" w:type="dxa"/>
            <w:tcBorders>
              <w:top w:val="single" w:sz="12" w:space="0" w:color="auto"/>
              <w:left w:val="single" w:sz="12" w:space="0" w:color="auto"/>
              <w:bottom w:val="single" w:sz="12" w:space="0" w:color="auto"/>
              <w:right w:val="single" w:sz="12" w:space="0" w:color="auto"/>
            </w:tcBorders>
            <w:shd w:val="clear" w:color="auto" w:fill="D0D0D0" w:themeFill="accent2" w:themeFillTint="99"/>
            <w:vAlign w:val="bottom"/>
          </w:tcPr>
          <w:p w14:paraId="6202395B" w14:textId="10BAA8C3" w:rsidR="16FD5590" w:rsidRPr="00A542C5" w:rsidRDefault="16FD5590" w:rsidP="16FD5590">
            <w:pPr>
              <w:rPr>
                <w:rFonts w:eastAsia="Inter Light" w:cs="Inter Light"/>
                <w:b/>
                <w:bCs/>
                <w:sz w:val="20"/>
                <w:szCs w:val="20"/>
              </w:rPr>
            </w:pPr>
            <w:r w:rsidRPr="00A542C5">
              <w:rPr>
                <w:rFonts w:eastAsia="Inter Light" w:cs="Inter Light"/>
                <w:b/>
                <w:bCs/>
                <w:sz w:val="20"/>
                <w:szCs w:val="20"/>
              </w:rPr>
              <w:t>Earmarked Grant Reserves - Ringfenced Total</w:t>
            </w:r>
          </w:p>
        </w:tc>
        <w:tc>
          <w:tcPr>
            <w:tcW w:w="1417" w:type="dxa"/>
            <w:tcBorders>
              <w:top w:val="single" w:sz="12" w:space="0" w:color="auto"/>
              <w:left w:val="single" w:sz="12" w:space="0" w:color="auto"/>
              <w:bottom w:val="single" w:sz="12" w:space="0" w:color="auto"/>
              <w:right w:val="single" w:sz="4" w:space="0" w:color="auto"/>
            </w:tcBorders>
            <w:shd w:val="clear" w:color="auto" w:fill="D0D0D0" w:themeFill="accent2" w:themeFillTint="99"/>
            <w:vAlign w:val="center"/>
          </w:tcPr>
          <w:p w14:paraId="0D6B88AC" w14:textId="5B50737F" w:rsidR="16FD5590" w:rsidRPr="00A542C5" w:rsidRDefault="16FD5590" w:rsidP="16FD5590">
            <w:pPr>
              <w:jc w:val="right"/>
              <w:rPr>
                <w:rFonts w:eastAsia="Inter Light" w:cs="Inter Light"/>
                <w:b/>
                <w:bCs/>
                <w:sz w:val="20"/>
                <w:szCs w:val="20"/>
              </w:rPr>
            </w:pPr>
            <w:r w:rsidRPr="00A542C5">
              <w:rPr>
                <w:rFonts w:eastAsia="Inter Light" w:cs="Inter Light"/>
                <w:b/>
                <w:bCs/>
                <w:sz w:val="20"/>
                <w:szCs w:val="20"/>
              </w:rPr>
              <w:t>13,608</w:t>
            </w:r>
          </w:p>
        </w:tc>
        <w:tc>
          <w:tcPr>
            <w:tcW w:w="1515" w:type="dxa"/>
            <w:tcBorders>
              <w:top w:val="single" w:sz="12" w:space="0" w:color="auto"/>
              <w:left w:val="single" w:sz="4" w:space="0" w:color="auto"/>
              <w:bottom w:val="single" w:sz="12" w:space="0" w:color="auto"/>
              <w:right w:val="single" w:sz="4" w:space="0" w:color="auto"/>
            </w:tcBorders>
            <w:shd w:val="clear" w:color="auto" w:fill="D0D0D0" w:themeFill="accent2" w:themeFillTint="99"/>
            <w:vAlign w:val="center"/>
          </w:tcPr>
          <w:p w14:paraId="270FFB32" w14:textId="386BBB2F" w:rsidR="16FD5590" w:rsidRPr="00A542C5" w:rsidRDefault="16FD5590" w:rsidP="16FD5590">
            <w:pPr>
              <w:jc w:val="right"/>
              <w:rPr>
                <w:rFonts w:eastAsia="Inter Light" w:cs="Inter Light"/>
                <w:b/>
                <w:bCs/>
                <w:sz w:val="20"/>
                <w:szCs w:val="20"/>
              </w:rPr>
            </w:pPr>
            <w:r w:rsidRPr="00A542C5">
              <w:rPr>
                <w:rFonts w:eastAsia="Inter Light" w:cs="Inter Light"/>
                <w:b/>
                <w:bCs/>
                <w:sz w:val="20"/>
                <w:szCs w:val="20"/>
              </w:rPr>
              <w:t>(2,497)</w:t>
            </w:r>
          </w:p>
        </w:tc>
        <w:tc>
          <w:tcPr>
            <w:tcW w:w="1256" w:type="dxa"/>
            <w:tcBorders>
              <w:top w:val="single" w:sz="12" w:space="0" w:color="auto"/>
              <w:left w:val="single" w:sz="4" w:space="0" w:color="auto"/>
              <w:bottom w:val="single" w:sz="12" w:space="0" w:color="auto"/>
              <w:right w:val="single" w:sz="12" w:space="0" w:color="auto"/>
            </w:tcBorders>
            <w:shd w:val="clear" w:color="auto" w:fill="D0D0D0" w:themeFill="accent2" w:themeFillTint="99"/>
            <w:vAlign w:val="center"/>
          </w:tcPr>
          <w:p w14:paraId="59887F0F" w14:textId="36AAC7B0" w:rsidR="16FD5590" w:rsidRPr="00A542C5" w:rsidRDefault="16FD5590" w:rsidP="16FD5590">
            <w:pPr>
              <w:jc w:val="right"/>
              <w:rPr>
                <w:rFonts w:eastAsia="Inter Light" w:cs="Inter Light"/>
                <w:b/>
                <w:bCs/>
                <w:sz w:val="20"/>
                <w:szCs w:val="20"/>
              </w:rPr>
            </w:pPr>
            <w:r w:rsidRPr="00A542C5">
              <w:rPr>
                <w:rFonts w:eastAsia="Inter Light" w:cs="Inter Light"/>
                <w:b/>
                <w:bCs/>
                <w:sz w:val="20"/>
                <w:szCs w:val="20"/>
              </w:rPr>
              <w:t>11,111</w:t>
            </w:r>
          </w:p>
        </w:tc>
      </w:tr>
      <w:tr w:rsidR="16FD5590" w:rsidRPr="009D7A02" w14:paraId="73F332E2" w14:textId="77777777" w:rsidTr="7DC21327">
        <w:trPr>
          <w:trHeight w:val="300"/>
          <w:jc w:val="center"/>
        </w:trPr>
        <w:tc>
          <w:tcPr>
            <w:tcW w:w="4712" w:type="dxa"/>
            <w:tcBorders>
              <w:top w:val="single" w:sz="12" w:space="0" w:color="auto"/>
              <w:left w:val="single" w:sz="12" w:space="0" w:color="auto"/>
              <w:bottom w:val="single" w:sz="4" w:space="0" w:color="auto"/>
              <w:right w:val="single" w:sz="12" w:space="0" w:color="auto"/>
            </w:tcBorders>
            <w:vAlign w:val="bottom"/>
          </w:tcPr>
          <w:p w14:paraId="16D374C6" w14:textId="59A68F29" w:rsidR="16FD5590" w:rsidRPr="00A542C5" w:rsidRDefault="16FD5590" w:rsidP="16FD5590">
            <w:pPr>
              <w:rPr>
                <w:sz w:val="20"/>
                <w:szCs w:val="20"/>
              </w:rPr>
            </w:pPr>
            <w:r w:rsidRPr="00A542C5">
              <w:rPr>
                <w:rFonts w:eastAsia="Inter Light" w:cs="Inter Light"/>
                <w:b/>
                <w:bCs/>
                <w:sz w:val="20"/>
                <w:szCs w:val="20"/>
              </w:rPr>
              <w:t>Earmarked reserves – non-ringfenced</w:t>
            </w:r>
            <w:r w:rsidRPr="00A542C5">
              <w:rPr>
                <w:rFonts w:eastAsia="Inter Light" w:cs="Inter Light"/>
                <w:sz w:val="20"/>
                <w:szCs w:val="20"/>
              </w:rPr>
              <w:t xml:space="preserve"> </w:t>
            </w:r>
          </w:p>
        </w:tc>
        <w:tc>
          <w:tcPr>
            <w:tcW w:w="1417" w:type="dxa"/>
            <w:tcBorders>
              <w:top w:val="single" w:sz="12" w:space="0" w:color="auto"/>
              <w:left w:val="single" w:sz="12" w:space="0" w:color="auto"/>
              <w:bottom w:val="single" w:sz="4" w:space="0" w:color="auto"/>
              <w:right w:val="single" w:sz="4" w:space="0" w:color="auto"/>
            </w:tcBorders>
            <w:vAlign w:val="center"/>
          </w:tcPr>
          <w:p w14:paraId="64462E68" w14:textId="50BB7B7C" w:rsidR="16FD5590" w:rsidRPr="00A542C5" w:rsidRDefault="16FD5590" w:rsidP="16FD5590">
            <w:pPr>
              <w:jc w:val="right"/>
              <w:rPr>
                <w:sz w:val="20"/>
                <w:szCs w:val="20"/>
              </w:rPr>
            </w:pPr>
          </w:p>
        </w:tc>
        <w:tc>
          <w:tcPr>
            <w:tcW w:w="1515" w:type="dxa"/>
            <w:tcBorders>
              <w:top w:val="single" w:sz="12" w:space="0" w:color="auto"/>
              <w:left w:val="single" w:sz="4" w:space="0" w:color="auto"/>
              <w:bottom w:val="single" w:sz="4" w:space="0" w:color="auto"/>
              <w:right w:val="single" w:sz="4" w:space="0" w:color="auto"/>
            </w:tcBorders>
            <w:vAlign w:val="center"/>
          </w:tcPr>
          <w:p w14:paraId="28DED7AD" w14:textId="437D2800" w:rsidR="16FD5590" w:rsidRPr="00A542C5" w:rsidRDefault="16FD5590" w:rsidP="16FD5590">
            <w:pPr>
              <w:jc w:val="right"/>
              <w:rPr>
                <w:sz w:val="20"/>
                <w:szCs w:val="20"/>
              </w:rPr>
            </w:pPr>
          </w:p>
        </w:tc>
        <w:tc>
          <w:tcPr>
            <w:tcW w:w="1256" w:type="dxa"/>
            <w:tcBorders>
              <w:top w:val="single" w:sz="12" w:space="0" w:color="auto"/>
              <w:left w:val="single" w:sz="4" w:space="0" w:color="auto"/>
              <w:bottom w:val="single" w:sz="4" w:space="0" w:color="auto"/>
              <w:right w:val="single" w:sz="12" w:space="0" w:color="auto"/>
            </w:tcBorders>
            <w:vAlign w:val="center"/>
          </w:tcPr>
          <w:p w14:paraId="0D0B8DD5" w14:textId="33746DAE" w:rsidR="16FD5590" w:rsidRPr="00A542C5" w:rsidRDefault="16FD5590" w:rsidP="16FD5590">
            <w:pPr>
              <w:jc w:val="right"/>
              <w:rPr>
                <w:sz w:val="20"/>
                <w:szCs w:val="20"/>
              </w:rPr>
            </w:pPr>
          </w:p>
        </w:tc>
      </w:tr>
      <w:tr w:rsidR="16FD5590" w:rsidRPr="009D7A02" w14:paraId="58070DC9" w14:textId="77777777" w:rsidTr="7DC21327">
        <w:trPr>
          <w:trHeight w:val="285"/>
          <w:jc w:val="center"/>
        </w:trPr>
        <w:tc>
          <w:tcPr>
            <w:tcW w:w="4712" w:type="dxa"/>
            <w:tcBorders>
              <w:top w:val="single" w:sz="4" w:space="0" w:color="auto"/>
              <w:left w:val="single" w:sz="12" w:space="0" w:color="auto"/>
              <w:bottom w:val="single" w:sz="4" w:space="0" w:color="auto"/>
              <w:right w:val="single" w:sz="12" w:space="0" w:color="auto"/>
            </w:tcBorders>
            <w:vAlign w:val="bottom"/>
          </w:tcPr>
          <w:p w14:paraId="6ECBBE86" w14:textId="5F1506E8" w:rsidR="16FD5590" w:rsidRPr="00A542C5" w:rsidRDefault="16FD5590" w:rsidP="16FD5590">
            <w:pPr>
              <w:rPr>
                <w:sz w:val="20"/>
                <w:szCs w:val="20"/>
              </w:rPr>
            </w:pPr>
            <w:r w:rsidRPr="00A542C5">
              <w:rPr>
                <w:rFonts w:eastAsia="Inter Light" w:cs="Inter Light"/>
                <w:sz w:val="20"/>
                <w:szCs w:val="20"/>
              </w:rPr>
              <w:t>CRSTS (2022/23 - forward)</w:t>
            </w:r>
          </w:p>
        </w:tc>
        <w:tc>
          <w:tcPr>
            <w:tcW w:w="1417" w:type="dxa"/>
            <w:tcBorders>
              <w:top w:val="single" w:sz="4" w:space="0" w:color="auto"/>
              <w:left w:val="single" w:sz="12" w:space="0" w:color="auto"/>
              <w:bottom w:val="single" w:sz="4" w:space="0" w:color="auto"/>
              <w:right w:val="single" w:sz="4" w:space="0" w:color="auto"/>
            </w:tcBorders>
            <w:vAlign w:val="center"/>
          </w:tcPr>
          <w:p w14:paraId="72F231E2" w14:textId="57ACEFA8" w:rsidR="16FD5590" w:rsidRPr="00A542C5" w:rsidRDefault="2C37F1C4" w:rsidP="41590B60">
            <w:pPr>
              <w:jc w:val="right"/>
              <w:rPr>
                <w:rFonts w:eastAsia="Inter Light" w:cs="Inter Light"/>
                <w:sz w:val="20"/>
                <w:szCs w:val="20"/>
              </w:rPr>
            </w:pPr>
            <w:r w:rsidRPr="00A542C5">
              <w:rPr>
                <w:rFonts w:eastAsia="Inter Light" w:cs="Inter Light"/>
                <w:sz w:val="20"/>
                <w:szCs w:val="20"/>
              </w:rPr>
              <w:t>4,951</w:t>
            </w:r>
          </w:p>
        </w:tc>
        <w:tc>
          <w:tcPr>
            <w:tcW w:w="1515" w:type="dxa"/>
            <w:tcBorders>
              <w:top w:val="single" w:sz="4" w:space="0" w:color="auto"/>
              <w:left w:val="single" w:sz="4" w:space="0" w:color="auto"/>
              <w:bottom w:val="single" w:sz="4" w:space="0" w:color="auto"/>
              <w:right w:val="single" w:sz="4" w:space="0" w:color="auto"/>
            </w:tcBorders>
            <w:vAlign w:val="center"/>
          </w:tcPr>
          <w:p w14:paraId="021911FA" w14:textId="3EBD02FC" w:rsidR="16FD5590" w:rsidRPr="00A542C5" w:rsidRDefault="16FD5590" w:rsidP="16FD5590">
            <w:pPr>
              <w:jc w:val="right"/>
              <w:rPr>
                <w:sz w:val="20"/>
                <w:szCs w:val="20"/>
              </w:rPr>
            </w:pPr>
            <w:r w:rsidRPr="00A542C5">
              <w:rPr>
                <w:rFonts w:eastAsia="Inter Light" w:cs="Inter Light"/>
                <w:sz w:val="20"/>
                <w:szCs w:val="20"/>
              </w:rPr>
              <w:t>-</w:t>
            </w:r>
          </w:p>
        </w:tc>
        <w:tc>
          <w:tcPr>
            <w:tcW w:w="1256" w:type="dxa"/>
            <w:tcBorders>
              <w:top w:val="single" w:sz="4" w:space="0" w:color="auto"/>
              <w:left w:val="single" w:sz="4" w:space="0" w:color="auto"/>
              <w:bottom w:val="single" w:sz="4" w:space="0" w:color="auto"/>
              <w:right w:val="single" w:sz="12" w:space="0" w:color="auto"/>
            </w:tcBorders>
            <w:vAlign w:val="center"/>
          </w:tcPr>
          <w:p w14:paraId="13D903DC" w14:textId="3D2E4183" w:rsidR="16FD5590" w:rsidRPr="00A542C5" w:rsidRDefault="16FD5590" w:rsidP="16FD5590">
            <w:pPr>
              <w:jc w:val="right"/>
              <w:rPr>
                <w:sz w:val="20"/>
                <w:szCs w:val="20"/>
              </w:rPr>
            </w:pPr>
            <w:r w:rsidRPr="00A542C5">
              <w:rPr>
                <w:rFonts w:eastAsia="Inter Light" w:cs="Inter Light"/>
                <w:sz w:val="20"/>
                <w:szCs w:val="20"/>
              </w:rPr>
              <w:t>4,951</w:t>
            </w:r>
          </w:p>
        </w:tc>
      </w:tr>
      <w:tr w:rsidR="16FD5590" w:rsidRPr="009D7A02" w14:paraId="2B519001" w14:textId="77777777" w:rsidTr="7DC21327">
        <w:trPr>
          <w:trHeight w:val="285"/>
          <w:jc w:val="center"/>
        </w:trPr>
        <w:tc>
          <w:tcPr>
            <w:tcW w:w="4712" w:type="dxa"/>
            <w:tcBorders>
              <w:top w:val="single" w:sz="4" w:space="0" w:color="auto"/>
              <w:left w:val="single" w:sz="12" w:space="0" w:color="auto"/>
              <w:bottom w:val="single" w:sz="4" w:space="0" w:color="auto"/>
              <w:right w:val="single" w:sz="12" w:space="0" w:color="auto"/>
            </w:tcBorders>
            <w:vAlign w:val="bottom"/>
          </w:tcPr>
          <w:p w14:paraId="19AF9D12" w14:textId="5B80335D" w:rsidR="16FD5590" w:rsidRPr="00A542C5" w:rsidRDefault="16FD5590" w:rsidP="16FD5590">
            <w:pPr>
              <w:rPr>
                <w:sz w:val="20"/>
                <w:szCs w:val="20"/>
              </w:rPr>
            </w:pPr>
            <w:r w:rsidRPr="00A542C5">
              <w:rPr>
                <w:rFonts w:eastAsia="Inter Light" w:cs="Inter Light"/>
                <w:sz w:val="20"/>
                <w:szCs w:val="20"/>
              </w:rPr>
              <w:t>ICTS DfT (2021/22)</w:t>
            </w:r>
          </w:p>
        </w:tc>
        <w:tc>
          <w:tcPr>
            <w:tcW w:w="1417" w:type="dxa"/>
            <w:tcBorders>
              <w:top w:val="single" w:sz="4" w:space="0" w:color="auto"/>
              <w:left w:val="single" w:sz="12" w:space="0" w:color="auto"/>
              <w:bottom w:val="single" w:sz="4" w:space="0" w:color="auto"/>
              <w:right w:val="single" w:sz="4" w:space="0" w:color="auto"/>
            </w:tcBorders>
            <w:vAlign w:val="center"/>
          </w:tcPr>
          <w:p w14:paraId="6DC0DCFC" w14:textId="3D7E477B" w:rsidR="16FD5590" w:rsidRPr="00A542C5" w:rsidRDefault="16FD5590" w:rsidP="16FD5590">
            <w:pPr>
              <w:jc w:val="right"/>
              <w:rPr>
                <w:sz w:val="20"/>
                <w:szCs w:val="20"/>
              </w:rPr>
            </w:pPr>
            <w:r w:rsidRPr="00A542C5">
              <w:rPr>
                <w:rFonts w:eastAsia="Inter Light" w:cs="Inter Light"/>
                <w:sz w:val="20"/>
                <w:szCs w:val="20"/>
              </w:rPr>
              <w:t>3,232</w:t>
            </w:r>
          </w:p>
        </w:tc>
        <w:tc>
          <w:tcPr>
            <w:tcW w:w="1515" w:type="dxa"/>
            <w:tcBorders>
              <w:top w:val="single" w:sz="4" w:space="0" w:color="auto"/>
              <w:left w:val="single" w:sz="4" w:space="0" w:color="auto"/>
              <w:bottom w:val="single" w:sz="4" w:space="0" w:color="auto"/>
              <w:right w:val="single" w:sz="4" w:space="0" w:color="auto"/>
            </w:tcBorders>
            <w:vAlign w:val="center"/>
          </w:tcPr>
          <w:p w14:paraId="3AFE7C78" w14:textId="3ED052B7" w:rsidR="16FD5590" w:rsidRPr="00A542C5" w:rsidRDefault="16FD5590" w:rsidP="16FD5590">
            <w:pPr>
              <w:jc w:val="right"/>
              <w:rPr>
                <w:sz w:val="20"/>
                <w:szCs w:val="20"/>
              </w:rPr>
            </w:pPr>
            <w:r w:rsidRPr="00A542C5">
              <w:rPr>
                <w:rFonts w:eastAsia="Inter Light" w:cs="Inter Light"/>
                <w:sz w:val="20"/>
                <w:szCs w:val="20"/>
              </w:rPr>
              <w:t>-</w:t>
            </w:r>
          </w:p>
        </w:tc>
        <w:tc>
          <w:tcPr>
            <w:tcW w:w="1256" w:type="dxa"/>
            <w:tcBorders>
              <w:top w:val="single" w:sz="4" w:space="0" w:color="auto"/>
              <w:left w:val="single" w:sz="4" w:space="0" w:color="auto"/>
              <w:bottom w:val="single" w:sz="4" w:space="0" w:color="auto"/>
              <w:right w:val="single" w:sz="12" w:space="0" w:color="auto"/>
            </w:tcBorders>
            <w:vAlign w:val="center"/>
          </w:tcPr>
          <w:p w14:paraId="0A0572BA" w14:textId="5BB42C71" w:rsidR="16FD5590" w:rsidRPr="00A542C5" w:rsidRDefault="16FD5590" w:rsidP="16FD5590">
            <w:pPr>
              <w:jc w:val="right"/>
              <w:rPr>
                <w:sz w:val="20"/>
                <w:szCs w:val="20"/>
              </w:rPr>
            </w:pPr>
            <w:r w:rsidRPr="00A542C5">
              <w:rPr>
                <w:rFonts w:eastAsia="Inter Light" w:cs="Inter Light"/>
                <w:sz w:val="20"/>
                <w:szCs w:val="20"/>
              </w:rPr>
              <w:t>3,232</w:t>
            </w:r>
          </w:p>
        </w:tc>
      </w:tr>
      <w:tr w:rsidR="16FD5590" w:rsidRPr="009D7A02" w14:paraId="10853BC8" w14:textId="77777777" w:rsidTr="7DC21327">
        <w:trPr>
          <w:trHeight w:val="285"/>
          <w:jc w:val="center"/>
        </w:trPr>
        <w:tc>
          <w:tcPr>
            <w:tcW w:w="4712" w:type="dxa"/>
            <w:tcBorders>
              <w:top w:val="single" w:sz="4" w:space="0" w:color="auto"/>
              <w:left w:val="single" w:sz="12" w:space="0" w:color="auto"/>
              <w:bottom w:val="single" w:sz="4" w:space="0" w:color="auto"/>
              <w:right w:val="single" w:sz="12" w:space="0" w:color="auto"/>
            </w:tcBorders>
            <w:vAlign w:val="bottom"/>
          </w:tcPr>
          <w:p w14:paraId="50B9CD9A" w14:textId="08B5BE14" w:rsidR="16FD5590" w:rsidRPr="00A542C5" w:rsidRDefault="16FD5590" w:rsidP="16FD5590">
            <w:pPr>
              <w:rPr>
                <w:sz w:val="20"/>
                <w:szCs w:val="20"/>
              </w:rPr>
            </w:pPr>
            <w:r w:rsidRPr="00A542C5">
              <w:rPr>
                <w:rFonts w:eastAsia="Inter Light" w:cs="Inter Light"/>
                <w:sz w:val="20"/>
                <w:szCs w:val="20"/>
              </w:rPr>
              <w:t xml:space="preserve">Lease wrap reserve  </w:t>
            </w:r>
          </w:p>
        </w:tc>
        <w:tc>
          <w:tcPr>
            <w:tcW w:w="1417" w:type="dxa"/>
            <w:tcBorders>
              <w:top w:val="single" w:sz="4" w:space="0" w:color="auto"/>
              <w:left w:val="single" w:sz="12" w:space="0" w:color="auto"/>
              <w:bottom w:val="single" w:sz="4" w:space="0" w:color="auto"/>
              <w:right w:val="single" w:sz="4" w:space="0" w:color="auto"/>
            </w:tcBorders>
            <w:vAlign w:val="center"/>
          </w:tcPr>
          <w:p w14:paraId="5CBBC972" w14:textId="790B34CF" w:rsidR="16FD5590" w:rsidRPr="00A542C5" w:rsidRDefault="16FD5590" w:rsidP="16FD5590">
            <w:pPr>
              <w:jc w:val="right"/>
              <w:rPr>
                <w:sz w:val="20"/>
                <w:szCs w:val="20"/>
              </w:rPr>
            </w:pPr>
            <w:r w:rsidRPr="00A542C5">
              <w:rPr>
                <w:rFonts w:eastAsia="Inter Light" w:cs="Inter Light"/>
                <w:sz w:val="20"/>
                <w:szCs w:val="20"/>
              </w:rPr>
              <w:t>3,396</w:t>
            </w:r>
          </w:p>
        </w:tc>
        <w:tc>
          <w:tcPr>
            <w:tcW w:w="1515" w:type="dxa"/>
            <w:tcBorders>
              <w:top w:val="single" w:sz="4" w:space="0" w:color="auto"/>
              <w:left w:val="single" w:sz="4" w:space="0" w:color="auto"/>
              <w:bottom w:val="single" w:sz="4" w:space="0" w:color="auto"/>
              <w:right w:val="single" w:sz="4" w:space="0" w:color="auto"/>
            </w:tcBorders>
            <w:vAlign w:val="center"/>
          </w:tcPr>
          <w:p w14:paraId="5B4B8E58" w14:textId="2B59A8EF" w:rsidR="16FD5590" w:rsidRPr="00A542C5" w:rsidRDefault="16FD5590" w:rsidP="16FD5590">
            <w:pPr>
              <w:jc w:val="right"/>
              <w:rPr>
                <w:sz w:val="20"/>
                <w:szCs w:val="20"/>
              </w:rPr>
            </w:pPr>
            <w:r w:rsidRPr="00A542C5">
              <w:rPr>
                <w:rFonts w:eastAsia="Inter Light" w:cs="Inter Light"/>
                <w:sz w:val="20"/>
                <w:szCs w:val="20"/>
              </w:rPr>
              <w:t>1,028</w:t>
            </w:r>
          </w:p>
        </w:tc>
        <w:tc>
          <w:tcPr>
            <w:tcW w:w="1256" w:type="dxa"/>
            <w:tcBorders>
              <w:top w:val="single" w:sz="4" w:space="0" w:color="auto"/>
              <w:left w:val="single" w:sz="4" w:space="0" w:color="auto"/>
              <w:bottom w:val="single" w:sz="4" w:space="0" w:color="auto"/>
              <w:right w:val="single" w:sz="12" w:space="0" w:color="auto"/>
            </w:tcBorders>
            <w:vAlign w:val="center"/>
          </w:tcPr>
          <w:p w14:paraId="34C4E5A6" w14:textId="1F0C9743" w:rsidR="16FD5590" w:rsidRPr="00A542C5" w:rsidRDefault="16FD5590" w:rsidP="16FD5590">
            <w:pPr>
              <w:jc w:val="right"/>
              <w:rPr>
                <w:sz w:val="20"/>
                <w:szCs w:val="20"/>
              </w:rPr>
            </w:pPr>
            <w:r w:rsidRPr="00A542C5">
              <w:rPr>
                <w:rFonts w:eastAsia="Inter Light" w:cs="Inter Light"/>
                <w:sz w:val="20"/>
                <w:szCs w:val="20"/>
              </w:rPr>
              <w:t>4,424</w:t>
            </w:r>
          </w:p>
        </w:tc>
      </w:tr>
      <w:tr w:rsidR="16FD5590" w:rsidRPr="009D7A02" w14:paraId="35309E1E" w14:textId="77777777" w:rsidTr="7DC21327">
        <w:trPr>
          <w:trHeight w:val="285"/>
          <w:jc w:val="center"/>
        </w:trPr>
        <w:tc>
          <w:tcPr>
            <w:tcW w:w="4712" w:type="dxa"/>
            <w:tcBorders>
              <w:top w:val="single" w:sz="4" w:space="0" w:color="auto"/>
              <w:left w:val="single" w:sz="12" w:space="0" w:color="auto"/>
              <w:bottom w:val="single" w:sz="4" w:space="0" w:color="auto"/>
              <w:right w:val="single" w:sz="12" w:space="0" w:color="auto"/>
            </w:tcBorders>
            <w:vAlign w:val="bottom"/>
          </w:tcPr>
          <w:p w14:paraId="2DE55DD9" w14:textId="4893954E" w:rsidR="16FD5590" w:rsidRPr="00A542C5" w:rsidRDefault="16FD5590" w:rsidP="16FD5590">
            <w:pPr>
              <w:rPr>
                <w:sz w:val="20"/>
                <w:szCs w:val="20"/>
              </w:rPr>
            </w:pPr>
            <w:r w:rsidRPr="00A542C5">
              <w:rPr>
                <w:rFonts w:eastAsia="Inter Light" w:cs="Inter Light"/>
                <w:sz w:val="20"/>
                <w:szCs w:val="20"/>
              </w:rPr>
              <w:t>Mayoral Election Costs Reserve</w:t>
            </w:r>
          </w:p>
        </w:tc>
        <w:tc>
          <w:tcPr>
            <w:tcW w:w="1417" w:type="dxa"/>
            <w:tcBorders>
              <w:top w:val="single" w:sz="4" w:space="0" w:color="auto"/>
              <w:left w:val="single" w:sz="12" w:space="0" w:color="auto"/>
              <w:bottom w:val="single" w:sz="4" w:space="0" w:color="auto"/>
              <w:right w:val="single" w:sz="4" w:space="0" w:color="auto"/>
            </w:tcBorders>
            <w:vAlign w:val="center"/>
          </w:tcPr>
          <w:p w14:paraId="3DC5FC59" w14:textId="22CAE2D0" w:rsidR="16FD5590" w:rsidRPr="00A542C5" w:rsidRDefault="16FD5590" w:rsidP="16FD5590">
            <w:pPr>
              <w:jc w:val="right"/>
              <w:rPr>
                <w:sz w:val="20"/>
                <w:szCs w:val="20"/>
              </w:rPr>
            </w:pPr>
            <w:r w:rsidRPr="00A542C5">
              <w:rPr>
                <w:rFonts w:eastAsia="Inter Light" w:cs="Inter Light"/>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14:paraId="7BE51A0A" w14:textId="41A31705" w:rsidR="16FD5590" w:rsidRPr="00A542C5" w:rsidRDefault="16FD5590" w:rsidP="16FD5590">
            <w:pPr>
              <w:jc w:val="right"/>
              <w:rPr>
                <w:sz w:val="20"/>
                <w:szCs w:val="20"/>
              </w:rPr>
            </w:pPr>
            <w:r w:rsidRPr="00A542C5">
              <w:rPr>
                <w:rFonts w:eastAsia="Inter Light" w:cs="Inter Light"/>
                <w:sz w:val="20"/>
                <w:szCs w:val="20"/>
              </w:rPr>
              <w:t>500</w:t>
            </w:r>
          </w:p>
        </w:tc>
        <w:tc>
          <w:tcPr>
            <w:tcW w:w="1256" w:type="dxa"/>
            <w:tcBorders>
              <w:top w:val="single" w:sz="4" w:space="0" w:color="auto"/>
              <w:left w:val="single" w:sz="4" w:space="0" w:color="auto"/>
              <w:bottom w:val="single" w:sz="4" w:space="0" w:color="auto"/>
              <w:right w:val="single" w:sz="12" w:space="0" w:color="auto"/>
            </w:tcBorders>
            <w:vAlign w:val="center"/>
          </w:tcPr>
          <w:p w14:paraId="5F33CDF9" w14:textId="04C4AB67" w:rsidR="16FD5590" w:rsidRPr="00A542C5" w:rsidRDefault="16FD5590" w:rsidP="16FD5590">
            <w:pPr>
              <w:jc w:val="right"/>
              <w:rPr>
                <w:sz w:val="20"/>
                <w:szCs w:val="20"/>
              </w:rPr>
            </w:pPr>
            <w:r w:rsidRPr="00A542C5">
              <w:rPr>
                <w:rFonts w:eastAsia="Inter Light" w:cs="Inter Light"/>
                <w:sz w:val="20"/>
                <w:szCs w:val="20"/>
              </w:rPr>
              <w:t>500</w:t>
            </w:r>
          </w:p>
        </w:tc>
      </w:tr>
      <w:tr w:rsidR="16FD5590" w:rsidRPr="009D7A02" w14:paraId="303B302B" w14:textId="77777777" w:rsidTr="7DC21327">
        <w:trPr>
          <w:trHeight w:val="285"/>
          <w:jc w:val="center"/>
        </w:trPr>
        <w:tc>
          <w:tcPr>
            <w:tcW w:w="4712" w:type="dxa"/>
            <w:tcBorders>
              <w:top w:val="single" w:sz="4" w:space="0" w:color="auto"/>
              <w:left w:val="single" w:sz="12" w:space="0" w:color="auto"/>
              <w:bottom w:val="single" w:sz="4" w:space="0" w:color="auto"/>
              <w:right w:val="single" w:sz="12" w:space="0" w:color="auto"/>
            </w:tcBorders>
            <w:vAlign w:val="center"/>
          </w:tcPr>
          <w:p w14:paraId="638B1691" w14:textId="63598422" w:rsidR="16FD5590" w:rsidRPr="00A542C5" w:rsidRDefault="7C4A0D7F" w:rsidP="7DC21327">
            <w:pPr>
              <w:rPr>
                <w:sz w:val="20"/>
                <w:szCs w:val="20"/>
              </w:rPr>
            </w:pPr>
            <w:r w:rsidRPr="7DC21327">
              <w:rPr>
                <w:rFonts w:eastAsia="Inter Light" w:cs="Inter Light"/>
                <w:sz w:val="20"/>
                <w:szCs w:val="20"/>
              </w:rPr>
              <w:t>Business Rate Growth</w:t>
            </w:r>
          </w:p>
        </w:tc>
        <w:tc>
          <w:tcPr>
            <w:tcW w:w="1417" w:type="dxa"/>
            <w:tcBorders>
              <w:top w:val="single" w:sz="4" w:space="0" w:color="auto"/>
              <w:left w:val="single" w:sz="12" w:space="0" w:color="auto"/>
              <w:bottom w:val="single" w:sz="4" w:space="0" w:color="auto"/>
              <w:right w:val="single" w:sz="4" w:space="0" w:color="auto"/>
            </w:tcBorders>
            <w:vAlign w:val="center"/>
          </w:tcPr>
          <w:p w14:paraId="0E220867" w14:textId="63CEAE97" w:rsidR="16FD5590" w:rsidRPr="00A542C5" w:rsidRDefault="2C37F1C4" w:rsidP="16FD5590">
            <w:pPr>
              <w:jc w:val="right"/>
              <w:rPr>
                <w:sz w:val="20"/>
                <w:szCs w:val="20"/>
              </w:rPr>
            </w:pPr>
            <w:r w:rsidRPr="00A542C5">
              <w:rPr>
                <w:rFonts w:eastAsia="Inter Light" w:cs="Inter Light"/>
                <w:sz w:val="20"/>
                <w:szCs w:val="20"/>
              </w:rPr>
              <w:t>2,85</w:t>
            </w:r>
            <w:r w:rsidR="00927275">
              <w:rPr>
                <w:rFonts w:eastAsia="Inter Light" w:cs="Inter Light"/>
                <w:sz w:val="20"/>
                <w:szCs w:val="20"/>
              </w:rPr>
              <w:t>5</w:t>
            </w:r>
          </w:p>
        </w:tc>
        <w:tc>
          <w:tcPr>
            <w:tcW w:w="1515" w:type="dxa"/>
            <w:tcBorders>
              <w:top w:val="single" w:sz="4" w:space="0" w:color="auto"/>
              <w:left w:val="single" w:sz="4" w:space="0" w:color="auto"/>
              <w:bottom w:val="single" w:sz="4" w:space="0" w:color="auto"/>
              <w:right w:val="single" w:sz="4" w:space="0" w:color="auto"/>
            </w:tcBorders>
            <w:vAlign w:val="center"/>
          </w:tcPr>
          <w:p w14:paraId="2EEF81B5" w14:textId="76DE3BBA" w:rsidR="16FD5590" w:rsidRPr="00A542C5" w:rsidRDefault="16FD5590" w:rsidP="16FD5590">
            <w:pPr>
              <w:jc w:val="right"/>
              <w:rPr>
                <w:sz w:val="20"/>
                <w:szCs w:val="20"/>
              </w:rPr>
            </w:pPr>
            <w:r w:rsidRPr="00A542C5">
              <w:rPr>
                <w:rFonts w:eastAsia="Inter Light" w:cs="Inter Light"/>
                <w:sz w:val="20"/>
                <w:szCs w:val="20"/>
              </w:rPr>
              <w:t>-</w:t>
            </w:r>
          </w:p>
        </w:tc>
        <w:tc>
          <w:tcPr>
            <w:tcW w:w="1256" w:type="dxa"/>
            <w:tcBorders>
              <w:top w:val="single" w:sz="4" w:space="0" w:color="auto"/>
              <w:left w:val="single" w:sz="4" w:space="0" w:color="auto"/>
              <w:bottom w:val="single" w:sz="4" w:space="0" w:color="auto"/>
              <w:right w:val="single" w:sz="12" w:space="0" w:color="auto"/>
            </w:tcBorders>
            <w:vAlign w:val="center"/>
          </w:tcPr>
          <w:p w14:paraId="3567CBDB" w14:textId="1BB81C16" w:rsidR="16FD5590" w:rsidRPr="00A542C5" w:rsidRDefault="16FD5590" w:rsidP="16FD5590">
            <w:pPr>
              <w:jc w:val="right"/>
              <w:rPr>
                <w:sz w:val="20"/>
                <w:szCs w:val="20"/>
              </w:rPr>
            </w:pPr>
            <w:r w:rsidRPr="00A542C5">
              <w:rPr>
                <w:rFonts w:eastAsia="Inter Light" w:cs="Inter Light"/>
                <w:sz w:val="20"/>
                <w:szCs w:val="20"/>
              </w:rPr>
              <w:t>2,85</w:t>
            </w:r>
            <w:r w:rsidR="00927275">
              <w:rPr>
                <w:rFonts w:eastAsia="Inter Light" w:cs="Inter Light"/>
                <w:sz w:val="20"/>
                <w:szCs w:val="20"/>
              </w:rPr>
              <w:t>5</w:t>
            </w:r>
          </w:p>
        </w:tc>
      </w:tr>
      <w:tr w:rsidR="16FD5590" w:rsidRPr="009D7A02" w14:paraId="3058EA6B" w14:textId="77777777" w:rsidTr="7DC21327">
        <w:trPr>
          <w:trHeight w:val="285"/>
          <w:jc w:val="center"/>
        </w:trPr>
        <w:tc>
          <w:tcPr>
            <w:tcW w:w="4712" w:type="dxa"/>
            <w:tcBorders>
              <w:top w:val="single" w:sz="4" w:space="0" w:color="auto"/>
              <w:left w:val="single" w:sz="12" w:space="0" w:color="auto"/>
              <w:bottom w:val="single" w:sz="4" w:space="0" w:color="auto"/>
              <w:right w:val="single" w:sz="12" w:space="0" w:color="auto"/>
            </w:tcBorders>
            <w:vAlign w:val="bottom"/>
          </w:tcPr>
          <w:p w14:paraId="5325B373" w14:textId="656D2DCF" w:rsidR="16FD5590" w:rsidRPr="00A542C5" w:rsidRDefault="16FD5590" w:rsidP="16FD5590">
            <w:pPr>
              <w:rPr>
                <w:sz w:val="20"/>
                <w:szCs w:val="20"/>
              </w:rPr>
            </w:pPr>
            <w:r w:rsidRPr="00A542C5">
              <w:rPr>
                <w:rFonts w:eastAsia="Inter Light" w:cs="Inter Light"/>
                <w:sz w:val="20"/>
                <w:szCs w:val="20"/>
              </w:rPr>
              <w:t xml:space="preserve">Devolution </w:t>
            </w:r>
            <w:r w:rsidR="00DD7E5A" w:rsidRPr="00A542C5">
              <w:rPr>
                <w:rFonts w:eastAsia="Inter Light" w:cs="Inter Light"/>
                <w:sz w:val="20"/>
                <w:szCs w:val="20"/>
              </w:rPr>
              <w:t>–</w:t>
            </w:r>
            <w:r w:rsidRPr="00A542C5">
              <w:rPr>
                <w:rFonts w:eastAsia="Inter Light" w:cs="Inter Light"/>
                <w:sz w:val="20"/>
                <w:szCs w:val="20"/>
              </w:rPr>
              <w:t xml:space="preserve"> Unallocated</w:t>
            </w:r>
          </w:p>
        </w:tc>
        <w:tc>
          <w:tcPr>
            <w:tcW w:w="1417" w:type="dxa"/>
            <w:tcBorders>
              <w:top w:val="single" w:sz="4" w:space="0" w:color="auto"/>
              <w:left w:val="single" w:sz="12" w:space="0" w:color="auto"/>
              <w:bottom w:val="single" w:sz="4" w:space="0" w:color="auto"/>
              <w:right w:val="single" w:sz="4" w:space="0" w:color="auto"/>
            </w:tcBorders>
            <w:vAlign w:val="center"/>
          </w:tcPr>
          <w:p w14:paraId="35CD01E0" w14:textId="25016936" w:rsidR="16FD5590" w:rsidRPr="00A542C5" w:rsidRDefault="16FD5590" w:rsidP="16FD5590">
            <w:pPr>
              <w:jc w:val="right"/>
              <w:rPr>
                <w:sz w:val="20"/>
                <w:szCs w:val="20"/>
              </w:rPr>
            </w:pPr>
            <w:r w:rsidRPr="00A542C5">
              <w:rPr>
                <w:rFonts w:eastAsia="Inter Light" w:cs="Inter Light"/>
                <w:sz w:val="20"/>
                <w:szCs w:val="20"/>
              </w:rPr>
              <w:t>9,050</w:t>
            </w:r>
          </w:p>
        </w:tc>
        <w:tc>
          <w:tcPr>
            <w:tcW w:w="1515" w:type="dxa"/>
            <w:tcBorders>
              <w:top w:val="single" w:sz="4" w:space="0" w:color="auto"/>
              <w:left w:val="single" w:sz="4" w:space="0" w:color="auto"/>
              <w:bottom w:val="single" w:sz="4" w:space="0" w:color="auto"/>
              <w:right w:val="single" w:sz="4" w:space="0" w:color="auto"/>
            </w:tcBorders>
            <w:vAlign w:val="center"/>
          </w:tcPr>
          <w:p w14:paraId="7D640BDA" w14:textId="5245F0F2" w:rsidR="16FD5590" w:rsidRPr="00A542C5" w:rsidRDefault="16FD5590" w:rsidP="16FD5590">
            <w:pPr>
              <w:jc w:val="right"/>
              <w:rPr>
                <w:sz w:val="20"/>
                <w:szCs w:val="20"/>
              </w:rPr>
            </w:pPr>
            <w:r w:rsidRPr="00A542C5">
              <w:rPr>
                <w:rFonts w:eastAsia="Inter Light" w:cs="Inter Light"/>
                <w:sz w:val="20"/>
                <w:szCs w:val="20"/>
              </w:rPr>
              <w:t>-</w:t>
            </w:r>
          </w:p>
        </w:tc>
        <w:tc>
          <w:tcPr>
            <w:tcW w:w="1256" w:type="dxa"/>
            <w:tcBorders>
              <w:top w:val="single" w:sz="4" w:space="0" w:color="auto"/>
              <w:left w:val="single" w:sz="4" w:space="0" w:color="auto"/>
              <w:bottom w:val="single" w:sz="4" w:space="0" w:color="auto"/>
              <w:right w:val="single" w:sz="12" w:space="0" w:color="auto"/>
            </w:tcBorders>
            <w:vAlign w:val="center"/>
          </w:tcPr>
          <w:p w14:paraId="116E4014" w14:textId="26AEE4E6" w:rsidR="16FD5590" w:rsidRPr="00A542C5" w:rsidRDefault="16FD5590" w:rsidP="16FD5590">
            <w:pPr>
              <w:jc w:val="right"/>
              <w:rPr>
                <w:sz w:val="20"/>
                <w:szCs w:val="20"/>
              </w:rPr>
            </w:pPr>
            <w:r w:rsidRPr="00A542C5">
              <w:rPr>
                <w:rFonts w:eastAsia="Inter Light" w:cs="Inter Light"/>
                <w:sz w:val="20"/>
                <w:szCs w:val="20"/>
              </w:rPr>
              <w:t>9,050</w:t>
            </w:r>
          </w:p>
        </w:tc>
      </w:tr>
      <w:tr w:rsidR="00A542C5" w:rsidRPr="009D7A02" w14:paraId="695E59D2" w14:textId="77777777" w:rsidTr="7DC21327">
        <w:trPr>
          <w:trHeight w:val="300"/>
          <w:jc w:val="center"/>
        </w:trPr>
        <w:tc>
          <w:tcPr>
            <w:tcW w:w="4712" w:type="dxa"/>
            <w:tcBorders>
              <w:top w:val="single" w:sz="4" w:space="0" w:color="auto"/>
              <w:left w:val="single" w:sz="12" w:space="0" w:color="auto"/>
              <w:bottom w:val="single" w:sz="12" w:space="0" w:color="auto"/>
              <w:right w:val="single" w:sz="12" w:space="0" w:color="auto"/>
            </w:tcBorders>
            <w:vAlign w:val="bottom"/>
          </w:tcPr>
          <w:p w14:paraId="277A2AFA" w14:textId="455030DB" w:rsidR="00A542C5" w:rsidRPr="00A542C5" w:rsidRDefault="15564424" w:rsidP="00A542C5">
            <w:pPr>
              <w:rPr>
                <w:sz w:val="20"/>
                <w:szCs w:val="20"/>
              </w:rPr>
            </w:pPr>
            <w:r w:rsidRPr="12889B77">
              <w:rPr>
                <w:sz w:val="20"/>
                <w:szCs w:val="20"/>
              </w:rPr>
              <w:t>Oper</w:t>
            </w:r>
            <w:r w:rsidR="7BE650C5" w:rsidRPr="12889B77">
              <w:rPr>
                <w:sz w:val="20"/>
                <w:szCs w:val="20"/>
              </w:rPr>
              <w:t>a</w:t>
            </w:r>
            <w:r w:rsidRPr="12889B77">
              <w:rPr>
                <w:sz w:val="20"/>
                <w:szCs w:val="20"/>
              </w:rPr>
              <w:t>ting</w:t>
            </w:r>
            <w:r w:rsidR="00A542C5" w:rsidRPr="12889B77">
              <w:rPr>
                <w:sz w:val="20"/>
                <w:szCs w:val="20"/>
              </w:rPr>
              <w:t xml:space="preserve"> Surplus Reserve</w:t>
            </w:r>
          </w:p>
        </w:tc>
        <w:tc>
          <w:tcPr>
            <w:tcW w:w="1417" w:type="dxa"/>
            <w:tcBorders>
              <w:top w:val="single" w:sz="4" w:space="0" w:color="auto"/>
              <w:left w:val="single" w:sz="12" w:space="0" w:color="auto"/>
              <w:bottom w:val="single" w:sz="12" w:space="0" w:color="auto"/>
              <w:right w:val="single" w:sz="4" w:space="0" w:color="auto"/>
            </w:tcBorders>
            <w:vAlign w:val="bottom"/>
          </w:tcPr>
          <w:p w14:paraId="768B2725" w14:textId="1C96EA3A" w:rsidR="00A542C5" w:rsidRPr="00A542C5" w:rsidRDefault="00A542C5" w:rsidP="00A542C5">
            <w:pPr>
              <w:jc w:val="right"/>
              <w:rPr>
                <w:sz w:val="20"/>
                <w:szCs w:val="20"/>
              </w:rPr>
            </w:pPr>
            <w:r w:rsidRPr="00A542C5">
              <w:rPr>
                <w:color w:val="000000"/>
                <w:sz w:val="20"/>
                <w:szCs w:val="20"/>
              </w:rPr>
              <w:t>190</w:t>
            </w:r>
          </w:p>
        </w:tc>
        <w:tc>
          <w:tcPr>
            <w:tcW w:w="1515" w:type="dxa"/>
            <w:tcBorders>
              <w:top w:val="single" w:sz="4" w:space="0" w:color="auto"/>
              <w:left w:val="single" w:sz="4" w:space="0" w:color="auto"/>
              <w:bottom w:val="single" w:sz="12" w:space="0" w:color="auto"/>
              <w:right w:val="single" w:sz="4" w:space="0" w:color="auto"/>
            </w:tcBorders>
            <w:vAlign w:val="bottom"/>
          </w:tcPr>
          <w:p w14:paraId="1511B358" w14:textId="36095184" w:rsidR="00A542C5" w:rsidRPr="00A542C5" w:rsidRDefault="00A542C5" w:rsidP="00A542C5">
            <w:pPr>
              <w:jc w:val="right"/>
              <w:rPr>
                <w:sz w:val="20"/>
                <w:szCs w:val="20"/>
              </w:rPr>
            </w:pPr>
            <w:r w:rsidRPr="00A542C5">
              <w:rPr>
                <w:color w:val="000000"/>
                <w:sz w:val="20"/>
                <w:szCs w:val="20"/>
              </w:rPr>
              <w:t>2,549</w:t>
            </w:r>
          </w:p>
        </w:tc>
        <w:tc>
          <w:tcPr>
            <w:tcW w:w="1256" w:type="dxa"/>
            <w:tcBorders>
              <w:top w:val="single" w:sz="4" w:space="0" w:color="auto"/>
              <w:left w:val="single" w:sz="4" w:space="0" w:color="auto"/>
              <w:bottom w:val="single" w:sz="12" w:space="0" w:color="auto"/>
              <w:right w:val="single" w:sz="12" w:space="0" w:color="auto"/>
            </w:tcBorders>
            <w:vAlign w:val="bottom"/>
          </w:tcPr>
          <w:p w14:paraId="23A46453" w14:textId="7DBD5333" w:rsidR="00A542C5" w:rsidRPr="00A542C5" w:rsidRDefault="00A542C5" w:rsidP="00A542C5">
            <w:pPr>
              <w:jc w:val="right"/>
              <w:rPr>
                <w:sz w:val="20"/>
                <w:szCs w:val="20"/>
              </w:rPr>
            </w:pPr>
            <w:r w:rsidRPr="00A542C5">
              <w:rPr>
                <w:color w:val="000000"/>
                <w:sz w:val="20"/>
                <w:szCs w:val="20"/>
              </w:rPr>
              <w:t>2,739</w:t>
            </w:r>
          </w:p>
        </w:tc>
      </w:tr>
      <w:tr w:rsidR="00B043A4" w:rsidRPr="009D7A02" w14:paraId="51BA1911" w14:textId="77777777" w:rsidTr="7DC21327">
        <w:trPr>
          <w:trHeight w:val="315"/>
          <w:jc w:val="center"/>
        </w:trPr>
        <w:tc>
          <w:tcPr>
            <w:tcW w:w="4712" w:type="dxa"/>
            <w:tcBorders>
              <w:top w:val="single" w:sz="12" w:space="0" w:color="auto"/>
              <w:left w:val="single" w:sz="12" w:space="0" w:color="auto"/>
              <w:bottom w:val="single" w:sz="12" w:space="0" w:color="auto"/>
              <w:right w:val="single" w:sz="12" w:space="0" w:color="auto"/>
            </w:tcBorders>
            <w:shd w:val="clear" w:color="auto" w:fill="D0D0D0" w:themeFill="accent2" w:themeFillTint="99"/>
            <w:vAlign w:val="bottom"/>
          </w:tcPr>
          <w:p w14:paraId="2435A780" w14:textId="18EE896F" w:rsidR="00A542C5" w:rsidRPr="00A542C5" w:rsidRDefault="00A542C5" w:rsidP="00A542C5">
            <w:pPr>
              <w:rPr>
                <w:sz w:val="20"/>
                <w:szCs w:val="20"/>
              </w:rPr>
            </w:pPr>
            <w:r w:rsidRPr="00A542C5">
              <w:rPr>
                <w:b/>
                <w:bCs/>
                <w:color w:val="000000"/>
                <w:sz w:val="20"/>
                <w:szCs w:val="20"/>
              </w:rPr>
              <w:t>Earmarked reserves – non-ringfenced</w:t>
            </w:r>
            <w:r w:rsidRPr="00A542C5">
              <w:rPr>
                <w:color w:val="000000"/>
                <w:sz w:val="20"/>
                <w:szCs w:val="20"/>
              </w:rPr>
              <w:t> </w:t>
            </w:r>
            <w:r w:rsidRPr="00A542C5">
              <w:rPr>
                <w:b/>
                <w:bCs/>
                <w:color w:val="000000"/>
                <w:sz w:val="20"/>
                <w:szCs w:val="20"/>
              </w:rPr>
              <w:t>Total</w:t>
            </w:r>
          </w:p>
        </w:tc>
        <w:tc>
          <w:tcPr>
            <w:tcW w:w="1417" w:type="dxa"/>
            <w:tcBorders>
              <w:top w:val="single" w:sz="12" w:space="0" w:color="auto"/>
              <w:left w:val="single" w:sz="12" w:space="0" w:color="auto"/>
              <w:bottom w:val="single" w:sz="12" w:space="0" w:color="auto"/>
              <w:right w:val="single" w:sz="4" w:space="0" w:color="auto"/>
            </w:tcBorders>
            <w:shd w:val="clear" w:color="auto" w:fill="D0D0D0" w:themeFill="accent2" w:themeFillTint="99"/>
            <w:vAlign w:val="bottom"/>
          </w:tcPr>
          <w:p w14:paraId="3056FE2D" w14:textId="02F3021F" w:rsidR="00A542C5" w:rsidRPr="00A542C5" w:rsidRDefault="00A542C5" w:rsidP="00A542C5">
            <w:pPr>
              <w:jc w:val="right"/>
              <w:rPr>
                <w:b/>
                <w:sz w:val="20"/>
                <w:szCs w:val="20"/>
              </w:rPr>
            </w:pPr>
            <w:r w:rsidRPr="0B5D4CB5">
              <w:rPr>
                <w:b/>
                <w:sz w:val="20"/>
                <w:szCs w:val="20"/>
              </w:rPr>
              <w:t>23,674</w:t>
            </w:r>
          </w:p>
        </w:tc>
        <w:tc>
          <w:tcPr>
            <w:tcW w:w="1515" w:type="dxa"/>
            <w:tcBorders>
              <w:top w:val="single" w:sz="12" w:space="0" w:color="auto"/>
              <w:left w:val="single" w:sz="4" w:space="0" w:color="auto"/>
              <w:bottom w:val="single" w:sz="12" w:space="0" w:color="auto"/>
              <w:right w:val="single" w:sz="4" w:space="0" w:color="auto"/>
            </w:tcBorders>
            <w:shd w:val="clear" w:color="auto" w:fill="D0D0D0" w:themeFill="accent2" w:themeFillTint="99"/>
            <w:vAlign w:val="bottom"/>
          </w:tcPr>
          <w:p w14:paraId="7CAD5B51" w14:textId="3614F5A8" w:rsidR="00A542C5" w:rsidRPr="00A542C5" w:rsidRDefault="00A542C5" w:rsidP="00A542C5">
            <w:pPr>
              <w:jc w:val="right"/>
              <w:rPr>
                <w:b/>
                <w:sz w:val="20"/>
                <w:szCs w:val="20"/>
              </w:rPr>
            </w:pPr>
            <w:r w:rsidRPr="0B5D4CB5">
              <w:rPr>
                <w:b/>
                <w:sz w:val="20"/>
                <w:szCs w:val="20"/>
              </w:rPr>
              <w:t>4,077</w:t>
            </w:r>
          </w:p>
        </w:tc>
        <w:tc>
          <w:tcPr>
            <w:tcW w:w="1256" w:type="dxa"/>
            <w:tcBorders>
              <w:top w:val="single" w:sz="12" w:space="0" w:color="auto"/>
              <w:left w:val="single" w:sz="4" w:space="0" w:color="auto"/>
              <w:bottom w:val="single" w:sz="12" w:space="0" w:color="auto"/>
              <w:right w:val="single" w:sz="12" w:space="0" w:color="auto"/>
            </w:tcBorders>
            <w:shd w:val="clear" w:color="auto" w:fill="D0D0D0" w:themeFill="accent2" w:themeFillTint="99"/>
            <w:vAlign w:val="bottom"/>
          </w:tcPr>
          <w:p w14:paraId="53FF5C12" w14:textId="4784A787" w:rsidR="00A542C5" w:rsidRPr="00A542C5" w:rsidRDefault="00A542C5" w:rsidP="00A542C5">
            <w:pPr>
              <w:jc w:val="right"/>
              <w:rPr>
                <w:b/>
                <w:sz w:val="20"/>
                <w:szCs w:val="20"/>
              </w:rPr>
            </w:pPr>
            <w:r w:rsidRPr="0B5D4CB5">
              <w:rPr>
                <w:b/>
                <w:sz w:val="20"/>
                <w:szCs w:val="20"/>
              </w:rPr>
              <w:t>27,751</w:t>
            </w:r>
          </w:p>
        </w:tc>
      </w:tr>
      <w:tr w:rsidR="00B043A4" w:rsidRPr="009D7A02" w14:paraId="145FA466" w14:textId="77777777" w:rsidTr="7DC21327">
        <w:trPr>
          <w:trHeight w:val="315"/>
          <w:jc w:val="center"/>
        </w:trPr>
        <w:tc>
          <w:tcPr>
            <w:tcW w:w="4712" w:type="dxa"/>
            <w:tcBorders>
              <w:top w:val="single" w:sz="12" w:space="0" w:color="auto"/>
              <w:left w:val="single" w:sz="12" w:space="0" w:color="auto"/>
              <w:bottom w:val="single" w:sz="12" w:space="0" w:color="auto"/>
              <w:right w:val="single" w:sz="12" w:space="0" w:color="auto"/>
            </w:tcBorders>
            <w:shd w:val="clear" w:color="auto" w:fill="D0D0D0" w:themeFill="accent2" w:themeFillTint="99"/>
            <w:vAlign w:val="bottom"/>
          </w:tcPr>
          <w:p w14:paraId="762147FD" w14:textId="280372E9" w:rsidR="00A542C5" w:rsidRPr="00A542C5" w:rsidRDefault="00A542C5" w:rsidP="00A542C5">
            <w:pPr>
              <w:rPr>
                <w:sz w:val="20"/>
                <w:szCs w:val="20"/>
              </w:rPr>
            </w:pPr>
            <w:r w:rsidRPr="00A542C5">
              <w:rPr>
                <w:b/>
                <w:bCs/>
                <w:color w:val="000000"/>
                <w:sz w:val="20"/>
                <w:szCs w:val="20"/>
              </w:rPr>
              <w:t> Total Revenue Reserves</w:t>
            </w:r>
            <w:r w:rsidRPr="00A542C5">
              <w:rPr>
                <w:color w:val="000000"/>
                <w:sz w:val="20"/>
                <w:szCs w:val="20"/>
              </w:rPr>
              <w:t> </w:t>
            </w:r>
          </w:p>
        </w:tc>
        <w:tc>
          <w:tcPr>
            <w:tcW w:w="1417" w:type="dxa"/>
            <w:tcBorders>
              <w:top w:val="single" w:sz="12" w:space="0" w:color="auto"/>
              <w:left w:val="single" w:sz="12" w:space="0" w:color="auto"/>
              <w:bottom w:val="single" w:sz="12" w:space="0" w:color="auto"/>
              <w:right w:val="single" w:sz="4" w:space="0" w:color="auto"/>
            </w:tcBorders>
            <w:shd w:val="clear" w:color="auto" w:fill="D0D0D0" w:themeFill="accent2" w:themeFillTint="99"/>
            <w:vAlign w:val="bottom"/>
          </w:tcPr>
          <w:p w14:paraId="642A3E18" w14:textId="380AE6E8" w:rsidR="00A542C5" w:rsidRPr="00A542C5" w:rsidRDefault="00A542C5" w:rsidP="00A542C5">
            <w:pPr>
              <w:jc w:val="right"/>
              <w:rPr>
                <w:b/>
                <w:sz w:val="20"/>
                <w:szCs w:val="20"/>
              </w:rPr>
            </w:pPr>
            <w:r w:rsidRPr="0B5D4CB5">
              <w:rPr>
                <w:b/>
                <w:sz w:val="20"/>
                <w:szCs w:val="20"/>
              </w:rPr>
              <w:t>38,340</w:t>
            </w:r>
          </w:p>
        </w:tc>
        <w:tc>
          <w:tcPr>
            <w:tcW w:w="1515" w:type="dxa"/>
            <w:tcBorders>
              <w:top w:val="single" w:sz="12" w:space="0" w:color="auto"/>
              <w:left w:val="single" w:sz="4" w:space="0" w:color="auto"/>
              <w:bottom w:val="single" w:sz="12" w:space="0" w:color="auto"/>
              <w:right w:val="single" w:sz="4" w:space="0" w:color="auto"/>
            </w:tcBorders>
            <w:shd w:val="clear" w:color="auto" w:fill="D0D0D0" w:themeFill="accent2" w:themeFillTint="99"/>
            <w:vAlign w:val="bottom"/>
          </w:tcPr>
          <w:p w14:paraId="1894FDB9" w14:textId="612E3C53" w:rsidR="00A542C5" w:rsidRPr="00A542C5" w:rsidRDefault="00A542C5" w:rsidP="00A542C5">
            <w:pPr>
              <w:jc w:val="right"/>
              <w:rPr>
                <w:b/>
                <w:sz w:val="20"/>
                <w:szCs w:val="20"/>
              </w:rPr>
            </w:pPr>
            <w:r w:rsidRPr="0B5D4CB5">
              <w:rPr>
                <w:b/>
                <w:sz w:val="20"/>
                <w:szCs w:val="20"/>
              </w:rPr>
              <w:t>1,580</w:t>
            </w:r>
          </w:p>
        </w:tc>
        <w:tc>
          <w:tcPr>
            <w:tcW w:w="1256" w:type="dxa"/>
            <w:tcBorders>
              <w:top w:val="single" w:sz="12" w:space="0" w:color="auto"/>
              <w:left w:val="single" w:sz="4" w:space="0" w:color="auto"/>
              <w:bottom w:val="single" w:sz="12" w:space="0" w:color="auto"/>
              <w:right w:val="single" w:sz="12" w:space="0" w:color="auto"/>
            </w:tcBorders>
            <w:shd w:val="clear" w:color="auto" w:fill="D0D0D0" w:themeFill="accent2" w:themeFillTint="99"/>
            <w:vAlign w:val="bottom"/>
          </w:tcPr>
          <w:p w14:paraId="27271669" w14:textId="085B380A" w:rsidR="00A542C5" w:rsidRPr="00A542C5" w:rsidRDefault="00A542C5" w:rsidP="00A542C5">
            <w:pPr>
              <w:jc w:val="right"/>
              <w:rPr>
                <w:b/>
                <w:sz w:val="20"/>
                <w:szCs w:val="20"/>
              </w:rPr>
            </w:pPr>
            <w:r w:rsidRPr="0B5D4CB5">
              <w:rPr>
                <w:b/>
                <w:sz w:val="20"/>
                <w:szCs w:val="20"/>
              </w:rPr>
              <w:t>39,920</w:t>
            </w:r>
          </w:p>
        </w:tc>
      </w:tr>
    </w:tbl>
    <w:p w14:paraId="21A89DC3" w14:textId="77777777" w:rsidR="00AC7945" w:rsidRPr="009D7A02" w:rsidRDefault="00AC7945" w:rsidP="00D06EAE">
      <w:pPr>
        <w:spacing w:line="276" w:lineRule="auto"/>
        <w:rPr>
          <w:rFonts w:ascii="Inter" w:hAnsi="Inter" w:cs="Arial"/>
          <w:b/>
          <w:bCs/>
          <w:szCs w:val="22"/>
        </w:rPr>
      </w:pPr>
    </w:p>
    <w:p w14:paraId="42E68536" w14:textId="77777777" w:rsidR="00AC7945" w:rsidRPr="009D7A02" w:rsidRDefault="00AC7945" w:rsidP="00D06EAE">
      <w:pPr>
        <w:spacing w:line="276" w:lineRule="auto"/>
        <w:rPr>
          <w:rFonts w:ascii="Inter" w:hAnsi="Inter" w:cs="Arial"/>
          <w:b/>
          <w:bCs/>
          <w:szCs w:val="22"/>
        </w:rPr>
      </w:pPr>
    </w:p>
    <w:p w14:paraId="7CEE8AA2" w14:textId="14A8A940" w:rsidR="00D06EAE" w:rsidRPr="009D7A02" w:rsidRDefault="00D06EAE" w:rsidP="16FD5590">
      <w:pPr>
        <w:pStyle w:val="ListParagraph"/>
        <w:spacing w:line="276" w:lineRule="auto"/>
        <w:ind w:left="567" w:hanging="567"/>
        <w:rPr>
          <w:rFonts w:ascii="Inter" w:hAnsi="Inter" w:cs="Arial"/>
          <w:b/>
          <w:bCs/>
        </w:rPr>
      </w:pPr>
      <w:r w:rsidRPr="009D7A02">
        <w:rPr>
          <w:rFonts w:ascii="Inter" w:hAnsi="Inter" w:cs="Arial"/>
          <w:b/>
          <w:bCs/>
        </w:rPr>
        <w:t>DEVELOPMENT CORPORATIONS</w:t>
      </w:r>
    </w:p>
    <w:p w14:paraId="42FB27AE" w14:textId="4B986F00" w:rsidR="16FD5590" w:rsidRPr="009D7A02" w:rsidRDefault="16FD5590" w:rsidP="16FD5590">
      <w:pPr>
        <w:pStyle w:val="ListParagraph"/>
        <w:spacing w:line="276" w:lineRule="auto"/>
        <w:ind w:left="567" w:hanging="567"/>
        <w:rPr>
          <w:rFonts w:ascii="Inter" w:hAnsi="Inter" w:cs="Arial"/>
          <w:b/>
          <w:bCs/>
        </w:rPr>
      </w:pPr>
    </w:p>
    <w:p w14:paraId="040EFA7B" w14:textId="30E455AB" w:rsidR="00D06EAE" w:rsidRPr="009D7A02" w:rsidRDefault="00D06EAE" w:rsidP="2DFE4DF5">
      <w:pPr>
        <w:pStyle w:val="ListParagraph"/>
        <w:numPr>
          <w:ilvl w:val="0"/>
          <w:numId w:val="3"/>
        </w:numPr>
        <w:spacing w:line="276" w:lineRule="auto"/>
        <w:rPr>
          <w:rFonts w:ascii="Inter" w:hAnsi="Inter" w:cs="Arial"/>
        </w:rPr>
      </w:pPr>
      <w:r w:rsidRPr="2DFE4DF5">
        <w:rPr>
          <w:rFonts w:ascii="Inter" w:hAnsi="Inter" w:cs="Arial"/>
        </w:rPr>
        <w:t xml:space="preserve">The TVCA group </w:t>
      </w:r>
      <w:r w:rsidR="06853F65" w:rsidRPr="2DFE4DF5">
        <w:rPr>
          <w:rFonts w:ascii="Inter" w:hAnsi="Inter" w:cs="Arial"/>
        </w:rPr>
        <w:t>includes</w:t>
      </w:r>
      <w:r w:rsidRPr="2DFE4DF5">
        <w:rPr>
          <w:rFonts w:ascii="Inter" w:hAnsi="Inter" w:cs="Arial"/>
        </w:rPr>
        <w:t xml:space="preserve"> three Development Corporations</w:t>
      </w:r>
      <w:r w:rsidR="545F8019" w:rsidRPr="2DFE4DF5">
        <w:rPr>
          <w:rFonts w:ascii="Inter" w:hAnsi="Inter" w:cs="Arial"/>
        </w:rPr>
        <w:t>:</w:t>
      </w:r>
      <w:r w:rsidRPr="2DFE4DF5">
        <w:rPr>
          <w:rFonts w:ascii="Inter" w:hAnsi="Inter" w:cs="Arial"/>
        </w:rPr>
        <w:t xml:space="preserve"> South Tees Development Corporation</w:t>
      </w:r>
      <w:r w:rsidR="3A78451B" w:rsidRPr="2DFE4DF5">
        <w:rPr>
          <w:rFonts w:ascii="Inter" w:hAnsi="Inter" w:cs="Arial"/>
        </w:rPr>
        <w:t xml:space="preserve"> (STDC)</w:t>
      </w:r>
      <w:r w:rsidRPr="2DFE4DF5">
        <w:rPr>
          <w:rFonts w:ascii="Inter" w:hAnsi="Inter" w:cs="Arial"/>
        </w:rPr>
        <w:t xml:space="preserve">, Hartlepool Development Corporation </w:t>
      </w:r>
      <w:r w:rsidR="08EE9D4C" w:rsidRPr="2DFE4DF5">
        <w:rPr>
          <w:rFonts w:ascii="Inter" w:hAnsi="Inter" w:cs="Arial"/>
        </w:rPr>
        <w:t xml:space="preserve">(HDC) </w:t>
      </w:r>
      <w:r w:rsidRPr="2DFE4DF5">
        <w:rPr>
          <w:rFonts w:ascii="Inter" w:hAnsi="Inter" w:cs="Arial"/>
        </w:rPr>
        <w:t>and Middlesbrough Development Corporation</w:t>
      </w:r>
      <w:r w:rsidR="40AA5A6A" w:rsidRPr="2DFE4DF5">
        <w:rPr>
          <w:rFonts w:ascii="Inter" w:hAnsi="Inter" w:cs="Arial"/>
        </w:rPr>
        <w:t xml:space="preserve"> (MDC)</w:t>
      </w:r>
      <w:r w:rsidR="0D131A45" w:rsidRPr="2DFE4DF5">
        <w:rPr>
          <w:rFonts w:ascii="Inter" w:hAnsi="Inter" w:cs="Arial"/>
        </w:rPr>
        <w:t>.</w:t>
      </w:r>
    </w:p>
    <w:p w14:paraId="25B5569F" w14:textId="7AB69A74" w:rsidR="16FD5590" w:rsidRPr="009D7A02" w:rsidRDefault="16FD5590" w:rsidP="00924627">
      <w:pPr>
        <w:pStyle w:val="ListParagraph"/>
        <w:spacing w:line="276" w:lineRule="auto"/>
        <w:ind w:left="567" w:hanging="567"/>
        <w:rPr>
          <w:rFonts w:ascii="Inter" w:hAnsi="Inter" w:cs="Arial"/>
        </w:rPr>
      </w:pPr>
    </w:p>
    <w:p w14:paraId="78BABEF5" w14:textId="02F3FF2B" w:rsidR="7DB5FA9B" w:rsidRPr="009D7A02" w:rsidRDefault="7DB5FA9B" w:rsidP="2DFE4DF5">
      <w:pPr>
        <w:pStyle w:val="ListParagraph"/>
        <w:numPr>
          <w:ilvl w:val="0"/>
          <w:numId w:val="3"/>
        </w:numPr>
        <w:spacing w:line="276" w:lineRule="auto"/>
        <w:rPr>
          <w:rFonts w:ascii="Inter" w:hAnsi="Inter" w:cs="Arial"/>
        </w:rPr>
      </w:pPr>
      <w:r w:rsidRPr="2DFE4DF5">
        <w:rPr>
          <w:rFonts w:ascii="Inter" w:hAnsi="Inter" w:cs="Arial"/>
        </w:rPr>
        <w:t xml:space="preserve">All three </w:t>
      </w:r>
      <w:r w:rsidR="139C8B6B" w:rsidRPr="2DFE4DF5">
        <w:rPr>
          <w:rFonts w:ascii="Inter" w:hAnsi="Inter" w:cs="Arial"/>
        </w:rPr>
        <w:t>D</w:t>
      </w:r>
      <w:r w:rsidRPr="2DFE4DF5">
        <w:rPr>
          <w:rFonts w:ascii="Inter" w:hAnsi="Inter" w:cs="Arial"/>
        </w:rPr>
        <w:t>evelopment</w:t>
      </w:r>
      <w:r w:rsidR="6C2AED3E" w:rsidRPr="2DFE4DF5">
        <w:rPr>
          <w:rFonts w:ascii="Inter" w:hAnsi="Inter" w:cs="Arial"/>
        </w:rPr>
        <w:t xml:space="preserve"> Corporations</w:t>
      </w:r>
      <w:r w:rsidRPr="2DFE4DF5">
        <w:rPr>
          <w:rFonts w:ascii="Inter" w:hAnsi="Inter" w:cs="Arial"/>
        </w:rPr>
        <w:t xml:space="preserve"> are currently in the process of developing their budgets for the fort</w:t>
      </w:r>
      <w:r w:rsidR="7577BC1E" w:rsidRPr="2DFE4DF5">
        <w:rPr>
          <w:rFonts w:ascii="Inter" w:hAnsi="Inter" w:cs="Arial"/>
        </w:rPr>
        <w:t>hcoming financial year and amounts included within the TVCA draft budget in respect of those entities e.g. interest receivable have been fed into those budget processes.</w:t>
      </w:r>
    </w:p>
    <w:p w14:paraId="4DABF9EE" w14:textId="77777777" w:rsidR="00D06EAE" w:rsidRPr="009D7A02" w:rsidRDefault="00D06EAE" w:rsidP="00924627">
      <w:pPr>
        <w:pStyle w:val="ListParagraph"/>
        <w:spacing w:line="276" w:lineRule="auto"/>
        <w:ind w:left="567" w:hanging="567"/>
        <w:rPr>
          <w:rFonts w:ascii="Inter" w:hAnsi="Inter" w:cs="Arial"/>
        </w:rPr>
      </w:pPr>
    </w:p>
    <w:p w14:paraId="5FB3B132" w14:textId="2B552A91" w:rsidR="70080EDD" w:rsidRPr="009D7A02" w:rsidRDefault="70080EDD" w:rsidP="2DFE4DF5">
      <w:pPr>
        <w:pStyle w:val="ListParagraph"/>
        <w:numPr>
          <w:ilvl w:val="0"/>
          <w:numId w:val="3"/>
        </w:numPr>
        <w:spacing w:line="276" w:lineRule="auto"/>
        <w:rPr>
          <w:rFonts w:ascii="Inter" w:hAnsi="Inter" w:cs="Arial"/>
        </w:rPr>
      </w:pPr>
      <w:r w:rsidRPr="2DFE4DF5">
        <w:rPr>
          <w:rFonts w:ascii="Inter" w:hAnsi="Inter" w:cs="Arial"/>
        </w:rPr>
        <w:t>There is no further financial support proposed for STDC in 2026/27 at this stage.</w:t>
      </w:r>
    </w:p>
    <w:p w14:paraId="7F7DD7A5" w14:textId="12F6A609" w:rsidR="16FD5590" w:rsidRPr="009D7A02" w:rsidRDefault="16FD5590" w:rsidP="00924627">
      <w:pPr>
        <w:pStyle w:val="ListParagraph"/>
        <w:spacing w:line="276" w:lineRule="auto"/>
        <w:ind w:left="567" w:hanging="567"/>
        <w:rPr>
          <w:rFonts w:ascii="Inter" w:hAnsi="Inter" w:cs="Arial"/>
        </w:rPr>
      </w:pPr>
    </w:p>
    <w:p w14:paraId="792FC845" w14:textId="25344D42" w:rsidR="70080EDD" w:rsidRPr="009D7A02" w:rsidRDefault="70080EDD" w:rsidP="2DFE4DF5">
      <w:pPr>
        <w:pStyle w:val="ListParagraph"/>
        <w:numPr>
          <w:ilvl w:val="0"/>
          <w:numId w:val="3"/>
        </w:numPr>
        <w:spacing w:line="276" w:lineRule="auto"/>
        <w:rPr>
          <w:rFonts w:ascii="Inter" w:hAnsi="Inter" w:cs="Arial"/>
        </w:rPr>
      </w:pPr>
      <w:r w:rsidRPr="2DFE4DF5">
        <w:rPr>
          <w:rFonts w:ascii="Inter" w:hAnsi="Inter" w:cs="Arial"/>
        </w:rPr>
        <w:t>HDC and MDC do not have independent income streams. It is not anticipated that MDC will require financial support</w:t>
      </w:r>
      <w:r w:rsidR="7E8902F1" w:rsidRPr="2DFE4DF5">
        <w:rPr>
          <w:rFonts w:ascii="Inter" w:hAnsi="Inter" w:cs="Arial"/>
        </w:rPr>
        <w:t xml:space="preserve">. However </w:t>
      </w:r>
      <w:r w:rsidRPr="2DFE4DF5">
        <w:rPr>
          <w:rFonts w:ascii="Inter" w:hAnsi="Inter" w:cs="Arial"/>
        </w:rPr>
        <w:t xml:space="preserve">further work is underway in relation to </w:t>
      </w:r>
      <w:r w:rsidR="603131BF" w:rsidRPr="2DFE4DF5">
        <w:rPr>
          <w:rFonts w:ascii="Inter" w:eastAsia="Inter" w:hAnsi="Inter" w:cs="Inter"/>
          <w:szCs w:val="22"/>
        </w:rPr>
        <w:t>HDC and the provision of financial support to balance the HDC 2026/27 budget is a consideration that will be discussed further with Cabinet ahead of the final budget report in March</w:t>
      </w:r>
      <w:r w:rsidRPr="2DFE4DF5">
        <w:rPr>
          <w:rFonts w:ascii="Inter" w:hAnsi="Inter" w:cs="Arial"/>
        </w:rPr>
        <w:t>.</w:t>
      </w:r>
    </w:p>
    <w:p w14:paraId="311233D3" w14:textId="5B8E64AF" w:rsidR="16FD5590" w:rsidRPr="009D7A02" w:rsidRDefault="16FD5590" w:rsidP="00924627">
      <w:pPr>
        <w:pStyle w:val="ListParagraph"/>
        <w:spacing w:line="276" w:lineRule="auto"/>
        <w:ind w:left="567" w:hanging="567"/>
        <w:rPr>
          <w:rFonts w:ascii="Inter" w:hAnsi="Inter" w:cs="Arial"/>
        </w:rPr>
      </w:pPr>
    </w:p>
    <w:p w14:paraId="28E6F738" w14:textId="2F9CEAAB" w:rsidR="711B3D01" w:rsidRPr="009D7A02" w:rsidRDefault="00FC4BC6" w:rsidP="2DFE4DF5">
      <w:pPr>
        <w:pStyle w:val="ListParagraph"/>
        <w:numPr>
          <w:ilvl w:val="0"/>
          <w:numId w:val="3"/>
        </w:numPr>
        <w:spacing w:line="276" w:lineRule="auto"/>
        <w:rPr>
          <w:rFonts w:ascii="Inter" w:hAnsi="Inter" w:cs="Arial"/>
        </w:rPr>
      </w:pPr>
      <w:r>
        <w:rPr>
          <w:rFonts w:ascii="Inter" w:eastAsia="Inter" w:hAnsi="Inter" w:cs="Inter"/>
          <w:szCs w:val="22"/>
        </w:rPr>
        <w:t xml:space="preserve">As </w:t>
      </w:r>
      <w:r w:rsidR="64E8D00C" w:rsidRPr="2DFE4DF5">
        <w:rPr>
          <w:rFonts w:ascii="Inter" w:eastAsia="Inter" w:hAnsi="Inter" w:cs="Inter"/>
          <w:szCs w:val="22"/>
        </w:rPr>
        <w:t>these are Mayoral Development Corporations, there is no legal obligation for the Combined Authority to provide financial support.  The provision of any financial support to a Mayoral Development Corporation would be a Cabinet decision</w:t>
      </w:r>
      <w:r w:rsidR="55DE979C" w:rsidRPr="2DFE4DF5">
        <w:rPr>
          <w:rFonts w:ascii="Inter" w:hAnsi="Inter" w:cs="Arial"/>
        </w:rPr>
        <w:t>.</w:t>
      </w:r>
    </w:p>
    <w:p w14:paraId="3AAC7C4D" w14:textId="77777777" w:rsidR="00D06EAE" w:rsidRPr="009D7A02" w:rsidRDefault="00D06EAE" w:rsidP="00924627">
      <w:pPr>
        <w:pStyle w:val="ListParagraph"/>
        <w:spacing w:line="276" w:lineRule="auto"/>
        <w:ind w:left="567" w:hanging="567"/>
        <w:rPr>
          <w:rFonts w:ascii="Inter" w:hAnsi="Inter" w:cs="Arial"/>
          <w:b/>
        </w:rPr>
      </w:pPr>
    </w:p>
    <w:p w14:paraId="56D042D5" w14:textId="2B766F29" w:rsidR="5CF55115" w:rsidRDefault="5CF55115" w:rsidP="5CF55115">
      <w:pPr>
        <w:pStyle w:val="ListParagraph"/>
        <w:spacing w:line="276" w:lineRule="auto"/>
        <w:ind w:left="567" w:hanging="567"/>
        <w:rPr>
          <w:rFonts w:ascii="Inter" w:hAnsi="Inter" w:cs="Arial"/>
          <w:b/>
          <w:bCs/>
        </w:rPr>
      </w:pPr>
    </w:p>
    <w:p w14:paraId="06296A70" w14:textId="77777777" w:rsidR="00D06EAE" w:rsidRPr="009D7A02" w:rsidRDefault="00D06EAE" w:rsidP="6EF1387B">
      <w:pPr>
        <w:pStyle w:val="ListParagraph"/>
        <w:spacing w:line="276" w:lineRule="auto"/>
        <w:ind w:left="567" w:hanging="567"/>
        <w:rPr>
          <w:rFonts w:ascii="Inter" w:hAnsi="Inter" w:cs="Arial"/>
          <w:b/>
          <w:bCs/>
        </w:rPr>
      </w:pPr>
      <w:r w:rsidRPr="009D7A02">
        <w:rPr>
          <w:rFonts w:ascii="Inter" w:hAnsi="Inter" w:cs="Arial"/>
          <w:b/>
          <w:bCs/>
        </w:rPr>
        <w:t>KEY FINANCIAL RISKS</w:t>
      </w:r>
    </w:p>
    <w:p w14:paraId="6134735B" w14:textId="77777777" w:rsidR="00D06EAE" w:rsidRPr="009D7A02" w:rsidRDefault="00D06EAE" w:rsidP="00924627">
      <w:pPr>
        <w:pStyle w:val="ListParagraph"/>
        <w:spacing w:line="276" w:lineRule="auto"/>
        <w:ind w:left="567" w:hanging="567"/>
        <w:rPr>
          <w:rFonts w:ascii="Inter" w:hAnsi="Inter" w:cs="Arial"/>
        </w:rPr>
      </w:pPr>
    </w:p>
    <w:p w14:paraId="4CF14853" w14:textId="2E32F923" w:rsidR="00D06EAE" w:rsidRPr="009D7A02" w:rsidRDefault="1B193C02" w:rsidP="2DFE4DF5">
      <w:pPr>
        <w:pStyle w:val="ListParagraph"/>
        <w:numPr>
          <w:ilvl w:val="0"/>
          <w:numId w:val="3"/>
        </w:numPr>
        <w:spacing w:line="276" w:lineRule="auto"/>
        <w:rPr>
          <w:rFonts w:ascii="Inter" w:hAnsi="Inter" w:cs="Arial"/>
        </w:rPr>
      </w:pPr>
      <w:r w:rsidRPr="2DFE4DF5">
        <w:rPr>
          <w:rFonts w:ascii="Inter" w:hAnsi="Inter" w:cs="Arial"/>
        </w:rPr>
        <w:t xml:space="preserve">As reported through the quarterly monitoring reports, the Authority is exposed to several key financial risks in the current and future financial years.  These are being identified and quantified through the finance improvement plan work with senior </w:t>
      </w:r>
      <w:r w:rsidR="007207BD" w:rsidRPr="2DFE4DF5">
        <w:rPr>
          <w:rFonts w:ascii="Inter" w:hAnsi="Inter" w:cs="Arial"/>
        </w:rPr>
        <w:t>officers reviewing</w:t>
      </w:r>
      <w:r w:rsidRPr="2DFE4DF5">
        <w:rPr>
          <w:rFonts w:ascii="Inter" w:hAnsi="Inter" w:cs="Arial"/>
        </w:rPr>
        <w:t xml:space="preserve"> and implementing mitigating actions to manage these risks.  Key risks identified to-date: </w:t>
      </w:r>
    </w:p>
    <w:p w14:paraId="2FD02815" w14:textId="7E7E99F0" w:rsidR="00D06EAE" w:rsidRPr="009D7A02" w:rsidRDefault="00D06EAE" w:rsidP="00924627">
      <w:pPr>
        <w:spacing w:after="160" w:line="276" w:lineRule="auto"/>
        <w:ind w:left="567" w:hanging="567"/>
      </w:pPr>
    </w:p>
    <w:p w14:paraId="1BF601B5" w14:textId="1617E569" w:rsidR="00D06EAE" w:rsidRPr="00924627" w:rsidRDefault="1B193C02" w:rsidP="00AD4EE9">
      <w:pPr>
        <w:pStyle w:val="ListParagraph"/>
        <w:numPr>
          <w:ilvl w:val="0"/>
          <w:numId w:val="8"/>
        </w:numPr>
        <w:spacing w:after="160" w:line="276" w:lineRule="auto"/>
        <w:rPr>
          <w:rFonts w:ascii="Inter" w:eastAsia="Aptos" w:hAnsi="Inter" w:cs="Aptos"/>
          <w:b/>
          <w:bCs/>
          <w:szCs w:val="22"/>
        </w:rPr>
      </w:pPr>
      <w:r w:rsidRPr="00924627">
        <w:rPr>
          <w:rFonts w:ascii="Inter" w:eastAsia="Aptos" w:hAnsi="Inter" w:cs="Aptos"/>
          <w:b/>
          <w:bCs/>
          <w:szCs w:val="22"/>
        </w:rPr>
        <w:t>Enterprise Zone Business Rates income</w:t>
      </w:r>
    </w:p>
    <w:p w14:paraId="76298CAD" w14:textId="39F6CC04" w:rsidR="00D06EAE" w:rsidRPr="00924627" w:rsidRDefault="1B193C02" w:rsidP="16FD5590">
      <w:pPr>
        <w:pStyle w:val="ListParagraph"/>
        <w:spacing w:after="160" w:line="276" w:lineRule="auto"/>
        <w:ind w:left="927"/>
        <w:rPr>
          <w:rFonts w:ascii="Inter" w:hAnsi="Inter" w:cs="Arial"/>
          <w:szCs w:val="22"/>
        </w:rPr>
      </w:pPr>
      <w:r w:rsidRPr="00924627">
        <w:rPr>
          <w:rFonts w:ascii="Inter" w:hAnsi="Inter" w:cs="Arial"/>
          <w:szCs w:val="22"/>
        </w:rPr>
        <w:t xml:space="preserve">Valuation Office Agency formal ratings value and deemed operational date of entities liable to pay business rates yet to be confirmed.  Estimates of business rates income within the MTFS may prove to be under or over-estimated. </w:t>
      </w:r>
    </w:p>
    <w:p w14:paraId="7CD65DB9" w14:textId="4A956680" w:rsidR="00D06EAE" w:rsidRPr="00924627" w:rsidRDefault="00D06EAE" w:rsidP="16FD5590">
      <w:pPr>
        <w:pStyle w:val="ListParagraph"/>
        <w:spacing w:after="160" w:line="276" w:lineRule="auto"/>
        <w:ind w:left="927"/>
        <w:rPr>
          <w:rFonts w:ascii="Inter" w:eastAsia="Aptos" w:hAnsi="Inter" w:cs="Aptos"/>
          <w:szCs w:val="22"/>
        </w:rPr>
      </w:pPr>
    </w:p>
    <w:p w14:paraId="680A8E6F" w14:textId="385B9821" w:rsidR="00D06EAE" w:rsidRPr="00924627" w:rsidRDefault="1B193C02" w:rsidP="00AD4EE9">
      <w:pPr>
        <w:pStyle w:val="ListParagraph"/>
        <w:numPr>
          <w:ilvl w:val="0"/>
          <w:numId w:val="8"/>
        </w:numPr>
        <w:spacing w:after="160" w:line="276" w:lineRule="auto"/>
        <w:rPr>
          <w:rFonts w:ascii="Inter" w:eastAsia="Aptos" w:hAnsi="Inter" w:cs="Aptos"/>
          <w:szCs w:val="22"/>
        </w:rPr>
      </w:pPr>
      <w:r w:rsidRPr="00924627">
        <w:rPr>
          <w:rFonts w:ascii="Inter" w:eastAsia="Aptos" w:hAnsi="Inter" w:cs="Aptos"/>
          <w:b/>
          <w:bCs/>
          <w:szCs w:val="22"/>
        </w:rPr>
        <w:t>Capital Financing Requirement – reduction in under-borrowed position</w:t>
      </w:r>
      <w:r w:rsidRPr="00924627">
        <w:rPr>
          <w:rFonts w:ascii="Inter" w:eastAsia="Aptos" w:hAnsi="Inter" w:cs="Aptos"/>
          <w:szCs w:val="22"/>
        </w:rPr>
        <w:t xml:space="preserve"> </w:t>
      </w:r>
    </w:p>
    <w:p w14:paraId="7826A39B" w14:textId="78B122C0" w:rsidR="00D06EAE" w:rsidRDefault="1B193C02" w:rsidP="16FD5590">
      <w:pPr>
        <w:pStyle w:val="ListParagraph"/>
        <w:spacing w:line="276" w:lineRule="auto"/>
        <w:ind w:left="927"/>
        <w:rPr>
          <w:rFonts w:ascii="Inter" w:eastAsia="Aptos" w:hAnsi="Inter" w:cs="Aptos"/>
          <w:szCs w:val="22"/>
        </w:rPr>
      </w:pPr>
      <w:r w:rsidRPr="00924627">
        <w:rPr>
          <w:rFonts w:ascii="Inter" w:eastAsia="Aptos" w:hAnsi="Inter" w:cs="Aptos"/>
          <w:szCs w:val="22"/>
        </w:rPr>
        <w:t>The Authority has provided loans to group entities and other parties forecast to be £538m by the end of 2025/26.  Whilst interest payments are being accrued by the borrower, cash payments are not necessarily being made whilst TVCA must still pay the interest costs to PWLB or other lender as appropriate.   Assuming interest payments are made, this represents a cashflow timing position but nonetheless does impact on cash available to TVCA.</w:t>
      </w:r>
    </w:p>
    <w:p w14:paraId="15817187" w14:textId="77777777" w:rsidR="00924627" w:rsidRPr="00924627" w:rsidRDefault="00924627" w:rsidP="16FD5590">
      <w:pPr>
        <w:pStyle w:val="ListParagraph"/>
        <w:spacing w:line="276" w:lineRule="auto"/>
        <w:ind w:left="927"/>
        <w:rPr>
          <w:rFonts w:ascii="Inter" w:hAnsi="Inter" w:cs="Arial"/>
          <w:szCs w:val="22"/>
        </w:rPr>
      </w:pPr>
    </w:p>
    <w:p w14:paraId="3E7DA728" w14:textId="4FD92ACA" w:rsidR="00D06EAE" w:rsidRDefault="1B193C02" w:rsidP="16FD5590">
      <w:pPr>
        <w:pStyle w:val="ListParagraph"/>
        <w:spacing w:line="276" w:lineRule="auto"/>
        <w:ind w:left="927"/>
        <w:rPr>
          <w:rFonts w:ascii="Inter" w:eastAsiaTheme="minorEastAsia" w:hAnsi="Inter"/>
        </w:rPr>
      </w:pPr>
      <w:r w:rsidRPr="2C357C92">
        <w:rPr>
          <w:rFonts w:ascii="Inter" w:eastAsiaTheme="minorEastAsia" w:hAnsi="Inter"/>
        </w:rPr>
        <w:t>However, in the case of the loans to Goosepool/TIAL, as the related loan is not forecast to be paid in the foreseeable future, this means that the cost of this borrowing is being met by TVCA</w:t>
      </w:r>
      <w:r w:rsidR="23C06ACA" w:rsidRPr="3E798A69">
        <w:rPr>
          <w:rFonts w:ascii="Inter" w:eastAsiaTheme="minorEastAsia" w:hAnsi="Inter"/>
        </w:rPr>
        <w:t xml:space="preserve"> and this is not just a cashflow timing issue</w:t>
      </w:r>
      <w:r w:rsidRPr="2C357C92">
        <w:rPr>
          <w:rFonts w:ascii="Inter" w:eastAsiaTheme="minorEastAsia" w:hAnsi="Inter"/>
        </w:rPr>
        <w:t>.</w:t>
      </w:r>
    </w:p>
    <w:p w14:paraId="1EA76A64" w14:textId="77777777" w:rsidR="00924627" w:rsidRPr="00924627" w:rsidRDefault="00924627" w:rsidP="16FD5590">
      <w:pPr>
        <w:pStyle w:val="ListParagraph"/>
        <w:spacing w:line="276" w:lineRule="auto"/>
        <w:ind w:left="927"/>
        <w:rPr>
          <w:rFonts w:ascii="Inter" w:eastAsia="Aptos" w:hAnsi="Inter" w:cs="Aptos"/>
        </w:rPr>
      </w:pPr>
    </w:p>
    <w:p w14:paraId="59F4E718" w14:textId="26AE91F5" w:rsidR="7A68ED2E" w:rsidRDefault="7A68ED2E" w:rsidP="2DFE4DF5">
      <w:pPr>
        <w:pStyle w:val="ListParagraph"/>
        <w:spacing w:line="276" w:lineRule="auto"/>
        <w:ind w:left="927"/>
        <w:rPr>
          <w:rFonts w:ascii="Inter" w:eastAsia="Aptos" w:hAnsi="Inter" w:cs="Aptos"/>
          <w:b/>
          <w:bCs/>
        </w:rPr>
      </w:pPr>
      <w:r w:rsidRPr="2DFE4DF5">
        <w:rPr>
          <w:rFonts w:asciiTheme="minorHAnsi" w:eastAsiaTheme="minorEastAsia" w:hAnsiTheme="minorHAnsi"/>
          <w:b/>
          <w:bCs/>
          <w:szCs w:val="22"/>
        </w:rPr>
        <w:t>Interest rate risk</w:t>
      </w:r>
    </w:p>
    <w:p w14:paraId="47C50033" w14:textId="2F4A00F4" w:rsidR="00D06EAE" w:rsidRDefault="1B193C02" w:rsidP="00AD4EE9">
      <w:pPr>
        <w:pStyle w:val="ListParagraph"/>
        <w:numPr>
          <w:ilvl w:val="0"/>
          <w:numId w:val="8"/>
        </w:numPr>
        <w:spacing w:line="276" w:lineRule="auto"/>
        <w:rPr>
          <w:rFonts w:ascii="Inter" w:eastAsia="Aptos" w:hAnsi="Inter" w:cs="Aptos"/>
        </w:rPr>
      </w:pPr>
      <w:r w:rsidRPr="4812EFC1">
        <w:rPr>
          <w:rFonts w:ascii="Inter" w:eastAsia="Aptos" w:hAnsi="Inter" w:cs="Aptos"/>
        </w:rPr>
        <w:lastRenderedPageBreak/>
        <w:t>As</w:t>
      </w:r>
      <w:r w:rsidR="1162B40A" w:rsidRPr="4812EFC1">
        <w:rPr>
          <w:rFonts w:ascii="Inter" w:eastAsia="Aptos" w:hAnsi="Inter" w:cs="Aptos"/>
        </w:rPr>
        <w:t xml:space="preserve"> a result of the reduced cash position, and as</w:t>
      </w:r>
      <w:r w:rsidRPr="4812EFC1">
        <w:rPr>
          <w:rFonts w:ascii="Inter" w:eastAsia="Aptos" w:hAnsi="Inter" w:cs="Aptos"/>
        </w:rPr>
        <w:t xml:space="preserve"> reported through the quarterly monitoring, </w:t>
      </w:r>
      <w:r w:rsidRPr="007B0FA8">
        <w:rPr>
          <w:rFonts w:ascii="Inter" w:eastAsia="Aptos" w:hAnsi="Inter" w:cs="Aptos"/>
        </w:rPr>
        <w:t>the</w:t>
      </w:r>
      <w:r w:rsidR="243A2D2B" w:rsidRPr="007B0FA8">
        <w:rPr>
          <w:rFonts w:ascii="Inter" w:eastAsia="Aptos" w:hAnsi="Inter" w:cs="Aptos"/>
        </w:rPr>
        <w:t>re is a</w:t>
      </w:r>
      <w:r w:rsidRPr="4812EFC1">
        <w:rPr>
          <w:rFonts w:ascii="Inter" w:eastAsia="Aptos" w:hAnsi="Inter" w:cs="Aptos"/>
        </w:rPr>
        <w:t xml:space="preserve"> need to undertake c£140m of borrowing by the end of 2025/26 as well as potentially an additional £100m of borrowing in 2026/27.  This exposes the Authority to interest rate risk as well as placing increased pressure on the revenue budgets creating an affordability risk.  The Treasury Management section above sets out the residual under-borrowed position, assuming the borrowing above is undertaken. </w:t>
      </w:r>
    </w:p>
    <w:p w14:paraId="5449B694" w14:textId="77777777" w:rsidR="00924627" w:rsidRPr="00924627" w:rsidRDefault="00924627" w:rsidP="00924627">
      <w:pPr>
        <w:pStyle w:val="ListParagraph"/>
        <w:spacing w:line="276" w:lineRule="auto"/>
        <w:ind w:left="927"/>
        <w:rPr>
          <w:rFonts w:ascii="Inter" w:eastAsia="Aptos" w:hAnsi="Inter" w:cs="Aptos"/>
          <w:szCs w:val="22"/>
        </w:rPr>
      </w:pPr>
    </w:p>
    <w:p w14:paraId="2803B28A" w14:textId="305BE39F" w:rsidR="00D06EAE" w:rsidRDefault="1B193C02" w:rsidP="16FD5590">
      <w:pPr>
        <w:pStyle w:val="ListParagraph"/>
        <w:spacing w:line="276" w:lineRule="auto"/>
        <w:ind w:left="927"/>
        <w:rPr>
          <w:rFonts w:ascii="Inter" w:eastAsia="Aptos" w:hAnsi="Inter" w:cs="Aptos"/>
        </w:rPr>
      </w:pPr>
      <w:r w:rsidRPr="007B0FA8">
        <w:rPr>
          <w:rFonts w:ascii="Inter" w:eastAsia="Aptos" w:hAnsi="Inter" w:cs="Aptos"/>
        </w:rPr>
        <w:t xml:space="preserve">To be prudent, the draft budget proposed for 2026/27 factors in the cost of borrowing additional funds up to the capital financing requirement and this is predicated on a projected interest rate of 5%.  Whilst, PWLB rates are linked to gilt yields, it is likely that PWLB rates may </w:t>
      </w:r>
      <w:r w:rsidR="4F9211F8" w:rsidRPr="007B0FA8">
        <w:rPr>
          <w:rFonts w:ascii="Inter" w:eastAsia="Aptos" w:hAnsi="Inter" w:cs="Aptos"/>
        </w:rPr>
        <w:t xml:space="preserve">continue to </w:t>
      </w:r>
      <w:r w:rsidRPr="007B0FA8">
        <w:rPr>
          <w:rFonts w:ascii="Inter" w:eastAsia="Aptos" w:hAnsi="Inter" w:cs="Aptos"/>
        </w:rPr>
        <w:t xml:space="preserve">decrease following the recent decision by the Bank of England to reduce the base rate. This could give rise to some upside in terms of the actual cost of borrowing versus the budget provision for interest payable. </w:t>
      </w:r>
    </w:p>
    <w:p w14:paraId="13B2C3CE" w14:textId="77777777" w:rsidR="00924627" w:rsidRPr="00924627" w:rsidRDefault="00924627" w:rsidP="16FD5590">
      <w:pPr>
        <w:pStyle w:val="ListParagraph"/>
        <w:spacing w:line="276" w:lineRule="auto"/>
        <w:ind w:left="927"/>
        <w:rPr>
          <w:rFonts w:ascii="Inter" w:eastAsia="Aptos" w:hAnsi="Inter" w:cs="Aptos"/>
          <w:szCs w:val="22"/>
        </w:rPr>
      </w:pPr>
    </w:p>
    <w:p w14:paraId="58E7AB13" w14:textId="2C46DEFC" w:rsidR="00D06EAE" w:rsidRDefault="1B193C02" w:rsidP="00AD4EE9">
      <w:pPr>
        <w:pStyle w:val="ListParagraph"/>
        <w:numPr>
          <w:ilvl w:val="0"/>
          <w:numId w:val="8"/>
        </w:numPr>
        <w:spacing w:line="276" w:lineRule="auto"/>
        <w:rPr>
          <w:rFonts w:ascii="Inter" w:eastAsia="Aptos" w:hAnsi="Inter" w:cs="Aptos"/>
        </w:rPr>
      </w:pPr>
      <w:r w:rsidRPr="007B0FA8">
        <w:rPr>
          <w:rFonts w:ascii="Inter" w:eastAsia="Aptos" w:hAnsi="Inter" w:cs="Aptos"/>
        </w:rPr>
        <w:t>Borrowing will only be undertaken i</w:t>
      </w:r>
      <w:r w:rsidR="7DBFEE06" w:rsidRPr="007B0FA8">
        <w:rPr>
          <w:rFonts w:ascii="Inter" w:eastAsia="Aptos" w:hAnsi="Inter" w:cs="Aptos"/>
        </w:rPr>
        <w:t>f</w:t>
      </w:r>
      <w:r w:rsidRPr="007B0FA8">
        <w:rPr>
          <w:rFonts w:ascii="Inter" w:eastAsia="Aptos" w:hAnsi="Inter" w:cs="Aptos"/>
        </w:rPr>
        <w:t xml:space="preserve"> the cash flow requirements of TVCA require this or the TVCA professional Treasury Advisors Arling Close indicate that the current available interest rate is favourable. </w:t>
      </w:r>
    </w:p>
    <w:p w14:paraId="0DB5E76A" w14:textId="77777777" w:rsidR="00B00BCB" w:rsidRDefault="00B00BCB" w:rsidP="00B00BCB">
      <w:pPr>
        <w:pStyle w:val="ListParagraph"/>
        <w:spacing w:line="276" w:lineRule="auto"/>
        <w:ind w:left="927"/>
        <w:rPr>
          <w:rFonts w:ascii="Inter" w:eastAsia="Aptos" w:hAnsi="Inter" w:cs="Aptos"/>
        </w:rPr>
      </w:pPr>
    </w:p>
    <w:p w14:paraId="62A64B4D" w14:textId="02F0B7D0" w:rsidR="4CE1DEED" w:rsidRDefault="4CE1DEED" w:rsidP="4AE0B2F1">
      <w:pPr>
        <w:pStyle w:val="ListParagraph"/>
        <w:spacing w:line="276" w:lineRule="auto"/>
        <w:ind w:left="927"/>
        <w:rPr>
          <w:rFonts w:ascii="Inter" w:eastAsia="Aptos" w:hAnsi="Inter" w:cs="Aptos"/>
          <w:b/>
          <w:bCs/>
        </w:rPr>
      </w:pPr>
      <w:r w:rsidRPr="4AE0B2F1">
        <w:rPr>
          <w:rFonts w:ascii="Inter" w:eastAsia="Aptos" w:hAnsi="Inter" w:cs="Aptos"/>
          <w:b/>
          <w:bCs/>
        </w:rPr>
        <w:t>Refinancing risk</w:t>
      </w:r>
    </w:p>
    <w:p w14:paraId="2BFD8104" w14:textId="7FDF1C93" w:rsidR="00D06EAE" w:rsidRDefault="00CA0037" w:rsidP="00AD4EE9">
      <w:pPr>
        <w:pStyle w:val="ListParagraph"/>
        <w:numPr>
          <w:ilvl w:val="0"/>
          <w:numId w:val="8"/>
        </w:numPr>
        <w:spacing w:line="276" w:lineRule="auto"/>
        <w:rPr>
          <w:rFonts w:ascii="Inter" w:eastAsia="Aptos" w:hAnsi="Inter" w:cs="Aptos"/>
        </w:rPr>
      </w:pPr>
      <w:r w:rsidRPr="66CD9383">
        <w:rPr>
          <w:rFonts w:ascii="Inter" w:eastAsia="Aptos" w:hAnsi="Inter" w:cs="Aptos"/>
        </w:rPr>
        <w:t xml:space="preserve">While this falls outside the current MTFP window, the borrowing strategy indicates that £240m of principal relating to maturity loans will be repayable between Quarter 3 of 2031/32 and Quarter 2 of 2032/33. As these loans were entered into on a maturity basis, TVCA will either need to utilise £240m of available balances to repay the debt or refinance the loans. Refinancing increases the risk borne by TVCA </w:t>
      </w:r>
      <w:r w:rsidR="2DA64A1E" w:rsidRPr="771A4210">
        <w:rPr>
          <w:rFonts w:ascii="Inter" w:eastAsia="Aptos" w:hAnsi="Inter" w:cs="Aptos"/>
        </w:rPr>
        <w:t>should</w:t>
      </w:r>
      <w:r w:rsidRPr="66CD9383">
        <w:rPr>
          <w:rFonts w:ascii="Inter" w:eastAsia="Aptos" w:hAnsi="Inter" w:cs="Aptos"/>
        </w:rPr>
        <w:t xml:space="preserve"> the interest rates available at that time exceed the current rate on the maturity loans (5%).</w:t>
      </w:r>
    </w:p>
    <w:p w14:paraId="36035983" w14:textId="77777777" w:rsidR="00CA0037" w:rsidRPr="00924627" w:rsidRDefault="00CA0037" w:rsidP="16FD5590">
      <w:pPr>
        <w:pStyle w:val="ListParagraph"/>
        <w:spacing w:line="276" w:lineRule="auto"/>
        <w:ind w:left="927"/>
        <w:rPr>
          <w:rFonts w:ascii="Inter" w:eastAsia="Aptos" w:hAnsi="Inter" w:cs="Aptos"/>
          <w:szCs w:val="22"/>
        </w:rPr>
      </w:pPr>
    </w:p>
    <w:p w14:paraId="2163566C" w14:textId="05221F8B" w:rsidR="00D06EAE" w:rsidRPr="00924627" w:rsidRDefault="1B193C02" w:rsidP="00AD4EE9">
      <w:pPr>
        <w:pStyle w:val="ListParagraph"/>
        <w:numPr>
          <w:ilvl w:val="0"/>
          <w:numId w:val="8"/>
        </w:numPr>
        <w:spacing w:line="276" w:lineRule="auto"/>
        <w:rPr>
          <w:rFonts w:ascii="Inter" w:eastAsia="Aptos" w:hAnsi="Inter" w:cs="Aptos"/>
          <w:b/>
          <w:bCs/>
          <w:szCs w:val="22"/>
        </w:rPr>
      </w:pPr>
      <w:r w:rsidRPr="00924627">
        <w:rPr>
          <w:rFonts w:ascii="Inter" w:eastAsia="Aptos" w:hAnsi="Inter" w:cs="Aptos"/>
          <w:b/>
          <w:bCs/>
          <w:szCs w:val="22"/>
        </w:rPr>
        <w:t xml:space="preserve">Minimum Revenue Provision (MRP) </w:t>
      </w:r>
    </w:p>
    <w:p w14:paraId="51773644" w14:textId="37A40023" w:rsidR="00D06EAE" w:rsidRPr="00924627" w:rsidRDefault="1B193C02" w:rsidP="16FD5590">
      <w:pPr>
        <w:pStyle w:val="ListParagraph"/>
        <w:spacing w:line="276" w:lineRule="auto"/>
        <w:ind w:left="927"/>
        <w:rPr>
          <w:rFonts w:ascii="Inter" w:eastAsia="Aptos" w:hAnsi="Inter" w:cs="Aptos"/>
        </w:rPr>
      </w:pPr>
      <w:r w:rsidRPr="3A8AC8C1">
        <w:rPr>
          <w:rFonts w:ascii="Inter" w:eastAsia="Aptos" w:hAnsi="Inter" w:cs="Aptos"/>
        </w:rPr>
        <w:t xml:space="preserve">Under the Authority’s approved Minimum Revenue Policy, provision for MRP is not required in respect of on-lending where principal repayments are being made.  Currently MRP is not being provided for in respect of on-lending to STDC and the Goosepool/airport loans.  </w:t>
      </w:r>
      <w:r w:rsidR="51C6FE7D" w:rsidRPr="3A8AC8C1">
        <w:rPr>
          <w:rFonts w:ascii="Inter" w:eastAsia="Aptos" w:hAnsi="Inter" w:cs="Aptos"/>
        </w:rPr>
        <w:t>T</w:t>
      </w:r>
      <w:r w:rsidRPr="3A8AC8C1">
        <w:rPr>
          <w:rFonts w:ascii="Inter" w:eastAsia="Aptos" w:hAnsi="Inter" w:cs="Aptos"/>
        </w:rPr>
        <w:t xml:space="preserve">his matter is subject to discussion with the Authority’s external auditors.  This could result in a requirement to provide MRP which is not currently provided for in the 2026/27 budget or over the MTFP period. </w:t>
      </w:r>
    </w:p>
    <w:p w14:paraId="60DE74B9" w14:textId="2B765228" w:rsidR="00D06EAE" w:rsidRPr="00924627" w:rsidRDefault="00D06EAE" w:rsidP="16FD5590">
      <w:pPr>
        <w:pStyle w:val="ListParagraph"/>
        <w:spacing w:line="276" w:lineRule="auto"/>
        <w:ind w:left="927"/>
        <w:rPr>
          <w:rFonts w:ascii="Inter" w:eastAsia="Aptos" w:hAnsi="Inter" w:cs="Aptos"/>
          <w:szCs w:val="22"/>
        </w:rPr>
      </w:pPr>
    </w:p>
    <w:p w14:paraId="7273A282" w14:textId="42E2A9B0" w:rsidR="00D06EAE" w:rsidRPr="00924627" w:rsidRDefault="1B193C02" w:rsidP="00AD4EE9">
      <w:pPr>
        <w:pStyle w:val="ListParagraph"/>
        <w:numPr>
          <w:ilvl w:val="0"/>
          <w:numId w:val="8"/>
        </w:numPr>
        <w:spacing w:line="276" w:lineRule="auto"/>
        <w:rPr>
          <w:rFonts w:ascii="Inter" w:eastAsia="Aptos" w:hAnsi="Inter" w:cs="Aptos"/>
          <w:b/>
          <w:bCs/>
          <w:szCs w:val="22"/>
        </w:rPr>
      </w:pPr>
      <w:r w:rsidRPr="00924627">
        <w:rPr>
          <w:rFonts w:ascii="Inter" w:eastAsia="Aptos" w:hAnsi="Inter" w:cs="Aptos"/>
          <w:b/>
          <w:bCs/>
          <w:szCs w:val="22"/>
        </w:rPr>
        <w:t xml:space="preserve">Public/private arrangements </w:t>
      </w:r>
    </w:p>
    <w:p w14:paraId="413C353A" w14:textId="38B58D14" w:rsidR="00D06EAE" w:rsidRPr="00924627" w:rsidRDefault="1B193C02" w:rsidP="16FD5590">
      <w:pPr>
        <w:pStyle w:val="ListParagraph"/>
        <w:spacing w:line="276" w:lineRule="auto"/>
        <w:ind w:left="927"/>
        <w:rPr>
          <w:rFonts w:ascii="Inter" w:eastAsia="Aptos" w:hAnsi="Inter" w:cs="Aptos"/>
          <w:szCs w:val="22"/>
        </w:rPr>
      </w:pPr>
      <w:r w:rsidRPr="00924627">
        <w:rPr>
          <w:rFonts w:ascii="Inter" w:eastAsia="Aptos" w:hAnsi="Inter" w:cs="Aptos"/>
          <w:szCs w:val="22"/>
        </w:rPr>
        <w:lastRenderedPageBreak/>
        <w:t xml:space="preserve">TVCA entered into a lease wrap arrangement with a pension fund and commercial entity whereby TVCA pays a head lease payment to the pension fund on the land and in turn receives a sub-lease rental income stream from the commercial entity.  Any default by the commercial entity would expose the Authority to the risk of making the annual payments to the Pension Fund.   The value of this is risk is c£4.6m. </w:t>
      </w:r>
    </w:p>
    <w:p w14:paraId="25418BA1" w14:textId="56EB9B19" w:rsidR="00D06EAE" w:rsidRPr="00924627" w:rsidRDefault="1B193C02" w:rsidP="16FD5590">
      <w:pPr>
        <w:pStyle w:val="ListParagraph"/>
        <w:spacing w:line="276" w:lineRule="auto"/>
        <w:ind w:left="927"/>
        <w:rPr>
          <w:rFonts w:ascii="Inter" w:eastAsia="Aptos" w:hAnsi="Inter" w:cs="Aptos"/>
          <w:szCs w:val="22"/>
        </w:rPr>
      </w:pPr>
      <w:r w:rsidRPr="00924627">
        <w:rPr>
          <w:rFonts w:ascii="Inter" w:eastAsia="Aptos" w:hAnsi="Inter" w:cs="Aptos"/>
          <w:szCs w:val="22"/>
        </w:rPr>
        <w:t xml:space="preserve"> </w:t>
      </w:r>
    </w:p>
    <w:p w14:paraId="6340E4BD" w14:textId="75B80725" w:rsidR="00D06EAE" w:rsidRPr="00924627" w:rsidRDefault="1B193C02" w:rsidP="00AD4EE9">
      <w:pPr>
        <w:pStyle w:val="ListParagraph"/>
        <w:numPr>
          <w:ilvl w:val="0"/>
          <w:numId w:val="8"/>
        </w:numPr>
        <w:spacing w:line="276" w:lineRule="auto"/>
        <w:rPr>
          <w:rFonts w:ascii="Inter" w:eastAsia="Aptos" w:hAnsi="Inter" w:cs="Aptos"/>
          <w:b/>
          <w:bCs/>
          <w:szCs w:val="22"/>
        </w:rPr>
      </w:pPr>
      <w:r w:rsidRPr="00924627">
        <w:rPr>
          <w:rFonts w:ascii="Inter" w:eastAsia="Aptos" w:hAnsi="Inter" w:cs="Aptos"/>
          <w:b/>
          <w:bCs/>
          <w:szCs w:val="22"/>
        </w:rPr>
        <w:t xml:space="preserve">Interest receivable </w:t>
      </w:r>
    </w:p>
    <w:p w14:paraId="4F3D23CA" w14:textId="3F32FB39" w:rsidR="00D06EAE" w:rsidRPr="00924627" w:rsidRDefault="1B193C02" w:rsidP="2DFE4DF5">
      <w:pPr>
        <w:pStyle w:val="ListParagraph"/>
        <w:spacing w:line="276" w:lineRule="auto"/>
        <w:ind w:left="927"/>
        <w:rPr>
          <w:rFonts w:ascii="Inter" w:eastAsia="Aptos" w:hAnsi="Inter" w:cs="Aptos"/>
        </w:rPr>
      </w:pPr>
      <w:r w:rsidRPr="2DFE4DF5">
        <w:rPr>
          <w:rFonts w:ascii="Inter" w:eastAsia="Aptos" w:hAnsi="Inter" w:cs="Aptos"/>
        </w:rPr>
        <w:t>The 2025/26 budget includes £12.063m of interest receivable due to the Authority from its Investment Plan on-lending.  There remains an ongoing general risk to th</w:t>
      </w:r>
      <w:r w:rsidR="65B1A649" w:rsidRPr="2DFE4DF5">
        <w:rPr>
          <w:rFonts w:ascii="Inter" w:eastAsia="Aptos" w:hAnsi="Inter" w:cs="Aptos"/>
        </w:rPr>
        <w:t>e</w:t>
      </w:r>
      <w:r w:rsidRPr="2DFE4DF5">
        <w:rPr>
          <w:rFonts w:ascii="Inter" w:eastAsia="Aptos" w:hAnsi="Inter" w:cs="Aptos"/>
        </w:rPr>
        <w:t xml:space="preserve"> interest payments being serviced by those entities but the situation is being closely monitored by senior officers.  A specific risk in relation to one of the loans and the rate of interest to be charged has emerged which could have a £0.636m negative impact on the revenue budgets.  Work is underway to clarify. </w:t>
      </w:r>
    </w:p>
    <w:p w14:paraId="47213AA5" w14:textId="3E7226CA" w:rsidR="00D06EAE" w:rsidRPr="00924627" w:rsidRDefault="00D06EAE" w:rsidP="16FD5590">
      <w:pPr>
        <w:pStyle w:val="ListParagraph"/>
        <w:spacing w:line="276" w:lineRule="auto"/>
        <w:ind w:left="927"/>
        <w:rPr>
          <w:rFonts w:ascii="Inter" w:eastAsia="Aptos" w:hAnsi="Inter" w:cs="Aptos"/>
          <w:szCs w:val="22"/>
        </w:rPr>
      </w:pPr>
    </w:p>
    <w:p w14:paraId="33210F60" w14:textId="7D373AE4" w:rsidR="00D06EAE" w:rsidRPr="00924627" w:rsidRDefault="1B193C02" w:rsidP="00AD4EE9">
      <w:pPr>
        <w:pStyle w:val="ListParagraph"/>
        <w:numPr>
          <w:ilvl w:val="0"/>
          <w:numId w:val="8"/>
        </w:numPr>
        <w:spacing w:line="276" w:lineRule="auto"/>
        <w:rPr>
          <w:rFonts w:ascii="Inter" w:eastAsia="Aptos" w:hAnsi="Inter" w:cs="Aptos"/>
          <w:szCs w:val="22"/>
        </w:rPr>
      </w:pPr>
      <w:r w:rsidRPr="00924627">
        <w:rPr>
          <w:rFonts w:ascii="Inter" w:eastAsia="Aptos" w:hAnsi="Inter" w:cs="Aptos"/>
          <w:b/>
          <w:bCs/>
          <w:szCs w:val="22"/>
        </w:rPr>
        <w:t>Group financial position</w:t>
      </w:r>
      <w:r w:rsidRPr="00924627">
        <w:rPr>
          <w:rFonts w:ascii="Inter" w:eastAsia="Aptos" w:hAnsi="Inter" w:cs="Aptos"/>
          <w:szCs w:val="22"/>
        </w:rPr>
        <w:t xml:space="preserve"> </w:t>
      </w:r>
    </w:p>
    <w:p w14:paraId="0A5FD5C7" w14:textId="58F8F1F7" w:rsidR="00D06EAE" w:rsidRPr="00924627" w:rsidRDefault="1B193C02" w:rsidP="16FD5590">
      <w:pPr>
        <w:pStyle w:val="ListParagraph"/>
        <w:spacing w:line="276" w:lineRule="auto"/>
        <w:ind w:left="927"/>
        <w:rPr>
          <w:rFonts w:ascii="Inter" w:eastAsia="Aptos" w:hAnsi="Inter" w:cs="Aptos"/>
        </w:rPr>
      </w:pPr>
      <w:r w:rsidRPr="15C28179">
        <w:rPr>
          <w:rFonts w:ascii="Inter" w:eastAsia="Aptos" w:hAnsi="Inter" w:cs="Aptos"/>
        </w:rPr>
        <w:t xml:space="preserve">Both HDC and MDC have no independent grant income funding streams and have to-date relied on the £10m grant funding made available to them by TVCA.  There are emerging financial pressures which are subject to comprehensive management mitigating action plans but there is the risk that the Authority may be exposed to further requests for funding, this year and next, to cover core costs to ensure the ongoing financial sustainability of the development corporations. </w:t>
      </w:r>
    </w:p>
    <w:p w14:paraId="75DC1D85" w14:textId="29544F10" w:rsidR="00D06EAE" w:rsidRPr="00924627" w:rsidRDefault="00D06EAE" w:rsidP="16FD5590">
      <w:pPr>
        <w:pStyle w:val="ListParagraph"/>
        <w:spacing w:line="276" w:lineRule="auto"/>
        <w:ind w:left="927"/>
        <w:rPr>
          <w:rFonts w:ascii="Inter" w:eastAsia="Aptos" w:hAnsi="Inter" w:cs="Aptos"/>
          <w:szCs w:val="22"/>
        </w:rPr>
      </w:pPr>
    </w:p>
    <w:p w14:paraId="0F12D6E0" w14:textId="228AA935" w:rsidR="00D06EAE" w:rsidRPr="00924627" w:rsidRDefault="1B193C02" w:rsidP="00AD4EE9">
      <w:pPr>
        <w:pStyle w:val="ListParagraph"/>
        <w:numPr>
          <w:ilvl w:val="0"/>
          <w:numId w:val="8"/>
        </w:numPr>
        <w:spacing w:line="276" w:lineRule="auto"/>
        <w:rPr>
          <w:rFonts w:ascii="Inter" w:eastAsia="Aptos" w:hAnsi="Inter" w:cs="Aptos"/>
          <w:szCs w:val="22"/>
        </w:rPr>
      </w:pPr>
      <w:r w:rsidRPr="00924627">
        <w:rPr>
          <w:rFonts w:ascii="Inter" w:eastAsia="Aptos" w:hAnsi="Inter" w:cs="Aptos"/>
          <w:b/>
          <w:bCs/>
          <w:szCs w:val="22"/>
        </w:rPr>
        <w:t xml:space="preserve">Statement of Accounts restatement </w:t>
      </w:r>
      <w:r w:rsidRPr="00924627">
        <w:rPr>
          <w:rFonts w:ascii="Inter" w:eastAsia="Aptos" w:hAnsi="Inter" w:cs="Aptos"/>
          <w:szCs w:val="22"/>
        </w:rPr>
        <w:t xml:space="preserve"> </w:t>
      </w:r>
    </w:p>
    <w:p w14:paraId="0179FE79" w14:textId="284D8FC8" w:rsidR="00D06EAE" w:rsidRPr="00924627" w:rsidRDefault="1B193C02" w:rsidP="41590B60">
      <w:pPr>
        <w:pStyle w:val="ListParagraph"/>
        <w:spacing w:line="276" w:lineRule="auto"/>
        <w:ind w:left="927"/>
        <w:rPr>
          <w:rFonts w:ascii="Inter" w:eastAsia="Aptos" w:hAnsi="Inter" w:cs="Aptos"/>
        </w:rPr>
      </w:pPr>
      <w:r w:rsidRPr="41590B60">
        <w:rPr>
          <w:rFonts w:ascii="Inter" w:eastAsia="Aptos" w:hAnsi="Inter" w:cs="Aptos"/>
        </w:rPr>
        <w:t>Cabinet will be aware that both the 2023/24 and 2024/25 statutory accounts remain unsigned due to the external auditor’s consideration that the draft published accounts may contain material errors.   A comprehensive review and restatement of these accounts will be concluded in the next few weeks but there is a risk that matters arising from the conclusion of this review that may have an impact on the financial position of the Authority.</w:t>
      </w:r>
    </w:p>
    <w:p w14:paraId="3DF1D632" w14:textId="175E3455" w:rsidR="00D06EAE" w:rsidRPr="00924627" w:rsidRDefault="00D06EAE" w:rsidP="16FD5590">
      <w:pPr>
        <w:pStyle w:val="ListParagraph"/>
        <w:spacing w:line="276" w:lineRule="auto"/>
        <w:ind w:left="567"/>
        <w:rPr>
          <w:rFonts w:ascii="Inter" w:eastAsia="Aptos" w:hAnsi="Inter" w:cs="Aptos"/>
        </w:rPr>
      </w:pPr>
    </w:p>
    <w:p w14:paraId="7B2EEA92" w14:textId="3DF7FABC" w:rsidR="10CEE121" w:rsidRDefault="10CEE121" w:rsidP="10CEE121">
      <w:pPr>
        <w:pStyle w:val="ListParagraph"/>
        <w:spacing w:line="276" w:lineRule="auto"/>
        <w:ind w:left="567"/>
        <w:rPr>
          <w:rFonts w:ascii="Inter" w:eastAsia="Aptos" w:hAnsi="Inter" w:cs="Aptos"/>
        </w:rPr>
      </w:pPr>
    </w:p>
    <w:p w14:paraId="7A66D4AD" w14:textId="4A3458EB" w:rsidR="001E6D8E" w:rsidRPr="009D7A02" w:rsidRDefault="001E6D8E" w:rsidP="001E6D8E">
      <w:pPr>
        <w:spacing w:line="276" w:lineRule="auto"/>
        <w:jc w:val="both"/>
        <w:rPr>
          <w:rFonts w:ascii="Inter" w:hAnsi="Inter" w:cs="Arial"/>
          <w:b/>
          <w:bCs/>
          <w:szCs w:val="22"/>
        </w:rPr>
      </w:pPr>
      <w:r w:rsidRPr="009D7A02">
        <w:rPr>
          <w:rFonts w:ascii="Inter" w:hAnsi="Inter" w:cs="Arial"/>
          <w:b/>
          <w:bCs/>
          <w:szCs w:val="22"/>
        </w:rPr>
        <w:t>Partnership &amp; Engagement</w:t>
      </w:r>
    </w:p>
    <w:p w14:paraId="78BC3767" w14:textId="77777777" w:rsidR="001E6D8E" w:rsidRPr="009D7A02" w:rsidRDefault="001E6D8E" w:rsidP="001E6D8E">
      <w:pPr>
        <w:spacing w:line="276" w:lineRule="auto"/>
        <w:jc w:val="both"/>
        <w:rPr>
          <w:rFonts w:ascii="Inter" w:hAnsi="Inter" w:cs="Arial"/>
          <w:b/>
          <w:bCs/>
          <w:szCs w:val="22"/>
        </w:rPr>
      </w:pPr>
    </w:p>
    <w:p w14:paraId="14FBEDAA" w14:textId="3E5530F7" w:rsidR="6F7FD7CC" w:rsidRDefault="00650960" w:rsidP="2DFE4DF5">
      <w:pPr>
        <w:pStyle w:val="ListParagraph"/>
        <w:numPr>
          <w:ilvl w:val="0"/>
          <w:numId w:val="3"/>
        </w:numPr>
        <w:spacing w:line="276" w:lineRule="auto"/>
        <w:jc w:val="both"/>
        <w:rPr>
          <w:rFonts w:ascii="Inter" w:hAnsi="Inter" w:cs="Arial"/>
          <w:b/>
          <w:bCs/>
        </w:rPr>
      </w:pPr>
      <w:r>
        <w:rPr>
          <w:rFonts w:ascii="Inter" w:eastAsia="Inter" w:hAnsi="Inter" w:cs="Inter"/>
          <w:szCs w:val="22"/>
        </w:rPr>
        <w:t>A draft version of this</w:t>
      </w:r>
      <w:r w:rsidR="6F7FD7CC" w:rsidRPr="2DFE4DF5">
        <w:rPr>
          <w:rFonts w:ascii="Inter" w:eastAsia="Inter" w:hAnsi="Inter" w:cs="Inter"/>
          <w:szCs w:val="22"/>
        </w:rPr>
        <w:t xml:space="preserve"> report has been discussed with the constituent local authority statutory officers on the 14 January and Informal Cabinet on the 16 January 2026.</w:t>
      </w:r>
    </w:p>
    <w:p w14:paraId="10B4DF6B" w14:textId="77777777" w:rsidR="001E6D8E" w:rsidRPr="009D7A02" w:rsidRDefault="001E6D8E" w:rsidP="00C26AA6">
      <w:pPr>
        <w:ind w:left="284" w:hanging="284"/>
        <w:rPr>
          <w:rFonts w:ascii="Inter" w:hAnsi="Inter" w:cs="Arial"/>
          <w:b/>
          <w:bCs/>
        </w:rPr>
      </w:pPr>
    </w:p>
    <w:p w14:paraId="1B5667E0" w14:textId="77777777" w:rsidR="005151AB" w:rsidRPr="009D7A02" w:rsidRDefault="005151AB" w:rsidP="00B77A90">
      <w:pPr>
        <w:spacing w:line="276" w:lineRule="auto"/>
        <w:jc w:val="both"/>
        <w:rPr>
          <w:rFonts w:ascii="Inter" w:hAnsi="Inter" w:cs="Arial"/>
          <w:szCs w:val="22"/>
        </w:rPr>
      </w:pPr>
    </w:p>
    <w:p w14:paraId="14320252" w14:textId="151D2D0F" w:rsidR="00B77A90" w:rsidRPr="009D7A02" w:rsidRDefault="00B77A90" w:rsidP="00B77A90">
      <w:pPr>
        <w:spacing w:line="276" w:lineRule="auto"/>
        <w:jc w:val="both"/>
        <w:rPr>
          <w:rFonts w:ascii="Inter" w:hAnsi="Inter" w:cs="Arial"/>
          <w:b/>
          <w:bCs/>
          <w:szCs w:val="22"/>
        </w:rPr>
      </w:pPr>
      <w:r w:rsidRPr="009D7A02">
        <w:rPr>
          <w:rFonts w:ascii="Inter" w:hAnsi="Inter" w:cs="Arial"/>
          <w:b/>
          <w:bCs/>
          <w:szCs w:val="22"/>
        </w:rPr>
        <w:lastRenderedPageBreak/>
        <w:t>Cabinet is requested to consider the following identified implications:</w:t>
      </w:r>
    </w:p>
    <w:p w14:paraId="69F90820" w14:textId="77777777" w:rsidR="00B77A90" w:rsidRPr="009D7A02" w:rsidRDefault="00B77A90" w:rsidP="001E6D8E">
      <w:pPr>
        <w:spacing w:line="276" w:lineRule="auto"/>
        <w:jc w:val="both"/>
        <w:rPr>
          <w:rFonts w:ascii="Inter" w:hAnsi="Inter" w:cs="Arial"/>
          <w:b/>
          <w:bCs/>
          <w:szCs w:val="22"/>
        </w:rPr>
      </w:pPr>
    </w:p>
    <w:p w14:paraId="13BAA396" w14:textId="11B99D80" w:rsidR="001E6D8E" w:rsidRPr="009D7A02" w:rsidRDefault="001E6D8E" w:rsidP="001E6D8E">
      <w:pPr>
        <w:spacing w:line="276" w:lineRule="auto"/>
        <w:jc w:val="both"/>
        <w:rPr>
          <w:rFonts w:ascii="Inter" w:hAnsi="Inter" w:cs="Arial"/>
          <w:b/>
          <w:bCs/>
          <w:szCs w:val="22"/>
        </w:rPr>
      </w:pPr>
      <w:r w:rsidRPr="009D7A02">
        <w:rPr>
          <w:rFonts w:ascii="Inter" w:hAnsi="Inter" w:cs="Arial"/>
          <w:b/>
          <w:bCs/>
          <w:szCs w:val="22"/>
        </w:rPr>
        <w:t>Financial Implications</w:t>
      </w:r>
    </w:p>
    <w:p w14:paraId="08946433" w14:textId="77777777" w:rsidR="001E6D8E" w:rsidRPr="009D7A02" w:rsidRDefault="001E6D8E" w:rsidP="00C26AA6">
      <w:pPr>
        <w:ind w:left="284" w:hanging="284"/>
        <w:rPr>
          <w:rFonts w:ascii="Inter" w:hAnsi="Inter" w:cs="Arial"/>
          <w:b/>
          <w:bCs/>
        </w:rPr>
      </w:pPr>
    </w:p>
    <w:p w14:paraId="5C059D79" w14:textId="5E7F74E8" w:rsidR="001E6D8E" w:rsidRPr="00924627" w:rsidRDefault="00715021" w:rsidP="2DFE4DF5">
      <w:pPr>
        <w:pStyle w:val="ListParagraph"/>
        <w:numPr>
          <w:ilvl w:val="0"/>
          <w:numId w:val="3"/>
        </w:numPr>
        <w:rPr>
          <w:rFonts w:ascii="Inter" w:hAnsi="Inter" w:cs="Arial"/>
        </w:rPr>
      </w:pPr>
      <w:r>
        <w:rPr>
          <w:rFonts w:ascii="Inter" w:hAnsi="Inter" w:cs="Arial"/>
        </w:rPr>
        <w:t>The</w:t>
      </w:r>
      <w:r w:rsidR="00334B48">
        <w:rPr>
          <w:rFonts w:ascii="Inter" w:hAnsi="Inter" w:cs="Arial"/>
        </w:rPr>
        <w:t xml:space="preserve"> financial implications are addressed in the body of the report. </w:t>
      </w:r>
    </w:p>
    <w:p w14:paraId="60C2B17D" w14:textId="77777777" w:rsidR="00387CA6" w:rsidRPr="009D7A02" w:rsidRDefault="00387CA6" w:rsidP="00924627">
      <w:pPr>
        <w:ind w:left="567" w:hanging="567"/>
        <w:rPr>
          <w:rFonts w:ascii="Inter" w:hAnsi="Inter" w:cs="Arial"/>
          <w:b/>
          <w:bCs/>
          <w:szCs w:val="22"/>
        </w:rPr>
      </w:pPr>
    </w:p>
    <w:p w14:paraId="50E784B1" w14:textId="2D45906F" w:rsidR="00C26AA6" w:rsidRPr="009D7A02" w:rsidRDefault="001E6D8E" w:rsidP="00924627">
      <w:pPr>
        <w:ind w:left="567" w:hanging="567"/>
        <w:rPr>
          <w:rFonts w:ascii="Inter" w:hAnsi="Inter" w:cs="Arial"/>
          <w:b/>
          <w:bCs/>
          <w:szCs w:val="22"/>
        </w:rPr>
      </w:pPr>
      <w:r w:rsidRPr="009D7A02">
        <w:rPr>
          <w:rFonts w:ascii="Inter" w:hAnsi="Inter" w:cs="Arial"/>
          <w:b/>
          <w:bCs/>
          <w:szCs w:val="22"/>
        </w:rPr>
        <w:t>Legal Implications</w:t>
      </w:r>
    </w:p>
    <w:p w14:paraId="51066CDB" w14:textId="77777777" w:rsidR="001E6D8E" w:rsidRPr="009D7A02" w:rsidRDefault="001E6D8E" w:rsidP="00924627">
      <w:pPr>
        <w:ind w:left="567" w:hanging="567"/>
        <w:rPr>
          <w:rFonts w:ascii="Inter" w:hAnsi="Inter" w:cs="Arial"/>
          <w:b/>
          <w:bCs/>
          <w:szCs w:val="22"/>
        </w:rPr>
      </w:pPr>
    </w:p>
    <w:p w14:paraId="2A3DE8E9" w14:textId="419D7C4C" w:rsidR="31B0CABC" w:rsidRPr="009D7A02" w:rsidRDefault="003F172D" w:rsidP="003F172D">
      <w:pPr>
        <w:pStyle w:val="ListParagraph"/>
        <w:numPr>
          <w:ilvl w:val="0"/>
          <w:numId w:val="3"/>
        </w:numPr>
        <w:spacing w:line="300" w:lineRule="auto"/>
        <w:jc w:val="both"/>
      </w:pPr>
      <w:r w:rsidRPr="003F172D">
        <w:rPr>
          <w:rFonts w:ascii="Inter" w:eastAsia="Inter" w:hAnsi="Inter" w:cs="Inter"/>
        </w:rPr>
        <w:t>The Combined Authority is required to agree a balanced budget annually and to monitor that budget throughout the year. In addition, there is a fiduciary duty not to waste public resources, to secure value for money and ensure that good financial governance arrangements are in place. Further, Section 25 of the Local Government Act 2003 places requirements on the Chief Finance Officer (in TVCA’s case, the S.73 Officer) to comment within this report on the robustness and adequacy of the reserves.</w:t>
      </w:r>
    </w:p>
    <w:p w14:paraId="77C99874" w14:textId="77777777" w:rsidR="001E6D8E" w:rsidRPr="009D7A02" w:rsidRDefault="001E6D8E" w:rsidP="00C26AA6">
      <w:pPr>
        <w:ind w:left="284" w:hanging="284"/>
        <w:rPr>
          <w:rFonts w:ascii="Inter" w:hAnsi="Inter" w:cs="Arial"/>
          <w:b/>
          <w:bCs/>
          <w:szCs w:val="22"/>
        </w:rPr>
      </w:pPr>
    </w:p>
    <w:p w14:paraId="3EC05B4A" w14:textId="0D0099E9" w:rsidR="001E6D8E" w:rsidRPr="009D7A02" w:rsidRDefault="001E6D8E" w:rsidP="00C26AA6">
      <w:pPr>
        <w:ind w:left="284" w:hanging="284"/>
        <w:rPr>
          <w:rFonts w:ascii="Inter" w:hAnsi="Inter" w:cs="Arial"/>
          <w:b/>
          <w:bCs/>
          <w:szCs w:val="22"/>
        </w:rPr>
      </w:pPr>
      <w:r w:rsidRPr="009D7A02">
        <w:rPr>
          <w:rFonts w:ascii="Inter" w:hAnsi="Inter" w:cs="Arial"/>
          <w:b/>
          <w:bCs/>
          <w:szCs w:val="22"/>
        </w:rPr>
        <w:t>Equality &amp; Diversity Implications</w:t>
      </w:r>
    </w:p>
    <w:p w14:paraId="2E2DB937" w14:textId="77777777" w:rsidR="00D46595" w:rsidRDefault="00D46595" w:rsidP="002C6A6E">
      <w:pPr>
        <w:pStyle w:val="ListParagraph"/>
        <w:ind w:left="360"/>
        <w:rPr>
          <w:rFonts w:ascii="Inter" w:hAnsi="Inter"/>
        </w:rPr>
      </w:pPr>
    </w:p>
    <w:p w14:paraId="222A5263" w14:textId="1EF5824B" w:rsidR="001E6D8E" w:rsidRPr="005D3B5D" w:rsidRDefault="0096254D" w:rsidP="00720A86">
      <w:pPr>
        <w:pStyle w:val="ListParagraph"/>
        <w:numPr>
          <w:ilvl w:val="0"/>
          <w:numId w:val="3"/>
        </w:numPr>
        <w:rPr>
          <w:rFonts w:ascii="Inter" w:hAnsi="Inter" w:cs="Arial"/>
          <w:b/>
          <w:szCs w:val="22"/>
        </w:rPr>
      </w:pPr>
      <w:r w:rsidRPr="005D3B5D">
        <w:rPr>
          <w:rFonts w:ascii="Inter" w:hAnsi="Inter"/>
        </w:rPr>
        <w:t xml:space="preserve">The </w:t>
      </w:r>
      <w:r w:rsidR="00334B48">
        <w:rPr>
          <w:rFonts w:ascii="Inter" w:hAnsi="Inter"/>
        </w:rPr>
        <w:t>draft budget</w:t>
      </w:r>
      <w:r w:rsidRPr="005D3B5D">
        <w:rPr>
          <w:rFonts w:ascii="Inter" w:hAnsi="Inter"/>
        </w:rPr>
        <w:t xml:space="preserve"> itself does not directly impact on groups of people with protected characteristics.  However, TVCA considers the potential impact on groups of people with protected characteristics in the development of policy, programmes and projects. Any </w:t>
      </w:r>
      <w:r w:rsidR="001B692C" w:rsidRPr="005D3B5D">
        <w:rPr>
          <w:rFonts w:ascii="Inter" w:hAnsi="Inter"/>
        </w:rPr>
        <w:t xml:space="preserve">policy, programmes and projects </w:t>
      </w:r>
      <w:r w:rsidR="001B692C">
        <w:rPr>
          <w:rFonts w:ascii="Inter" w:hAnsi="Inter"/>
        </w:rPr>
        <w:t xml:space="preserve">developed in 2026/27 </w:t>
      </w:r>
      <w:r w:rsidRPr="005D3B5D">
        <w:rPr>
          <w:rFonts w:ascii="Inter" w:hAnsi="Inter"/>
        </w:rPr>
        <w:t xml:space="preserve">will be subject to Equality Impact Assessments during the development phase.  </w:t>
      </w:r>
    </w:p>
    <w:p w14:paraId="7CF7AE94" w14:textId="77777777" w:rsidR="005D3B5D" w:rsidRPr="005D3B5D" w:rsidRDefault="005D3B5D" w:rsidP="005D3B5D">
      <w:pPr>
        <w:pStyle w:val="ListParagraph"/>
        <w:ind w:left="360"/>
        <w:rPr>
          <w:rFonts w:ascii="Inter" w:hAnsi="Inter" w:cs="Arial"/>
          <w:b/>
          <w:szCs w:val="22"/>
        </w:rPr>
      </w:pPr>
    </w:p>
    <w:p w14:paraId="42526143" w14:textId="0D6E1737" w:rsidR="00C26AA6" w:rsidRDefault="001E6D8E" w:rsidP="16FD5590">
      <w:pPr>
        <w:ind w:left="284" w:hanging="284"/>
        <w:rPr>
          <w:rFonts w:ascii="Inter" w:hAnsi="Inter" w:cs="Arial"/>
          <w:b/>
          <w:bCs/>
        </w:rPr>
      </w:pPr>
      <w:r w:rsidRPr="009D7A02">
        <w:rPr>
          <w:rFonts w:ascii="Inter" w:hAnsi="Inter" w:cs="Arial"/>
          <w:b/>
          <w:bCs/>
        </w:rPr>
        <w:t>Other Significant Implications</w:t>
      </w:r>
    </w:p>
    <w:p w14:paraId="395EE10A" w14:textId="17BED5AB" w:rsidR="4252674D" w:rsidRDefault="4252674D" w:rsidP="4252674D">
      <w:pPr>
        <w:ind w:left="284" w:hanging="284"/>
        <w:rPr>
          <w:rFonts w:ascii="Inter" w:hAnsi="Inter" w:cs="Arial"/>
          <w:b/>
          <w:bCs/>
        </w:rPr>
      </w:pPr>
    </w:p>
    <w:p w14:paraId="2B9B948E" w14:textId="3019CC2C" w:rsidR="005D3B5D" w:rsidRDefault="005D3B5D" w:rsidP="005D3B5D">
      <w:pPr>
        <w:pStyle w:val="ListParagraph"/>
        <w:numPr>
          <w:ilvl w:val="0"/>
          <w:numId w:val="3"/>
        </w:numPr>
        <w:rPr>
          <w:rFonts w:ascii="Inter" w:hAnsi="Inter"/>
        </w:rPr>
      </w:pPr>
      <w:r w:rsidRPr="0096254D">
        <w:rPr>
          <w:rFonts w:ascii="Inter" w:hAnsi="Inter"/>
        </w:rPr>
        <w:t xml:space="preserve">Risk </w:t>
      </w:r>
      <w:r w:rsidR="003474C7">
        <w:tab/>
      </w:r>
      <w:r w:rsidR="003474C7">
        <w:tab/>
      </w:r>
      <w:r w:rsidRPr="0099668F">
        <w:rPr>
          <w:rFonts w:ascii="Inter" w:hAnsi="Inter"/>
          <w:b/>
        </w:rPr>
        <w:t xml:space="preserve">X </w:t>
      </w:r>
      <w:r w:rsidR="003474C7">
        <w:tab/>
      </w:r>
      <w:r w:rsidRPr="0096254D">
        <w:rPr>
          <w:rFonts w:ascii="Inter" w:hAnsi="Inter"/>
        </w:rPr>
        <w:t xml:space="preserve">Assurance Framework Procurement </w:t>
      </w:r>
      <w:r w:rsidR="003474C7">
        <w:tab/>
      </w:r>
      <w:r w:rsidR="003474C7">
        <w:tab/>
      </w:r>
      <w:r w:rsidR="003474C7">
        <w:tab/>
      </w:r>
      <w:r w:rsidR="003474C7">
        <w:tab/>
      </w:r>
      <w:r w:rsidRPr="0096254D">
        <w:rPr>
          <w:rFonts w:ascii="Inter" w:hAnsi="Inter"/>
        </w:rPr>
        <w:t xml:space="preserve">Improvement </w:t>
      </w:r>
      <w:r w:rsidR="003474C7">
        <w:tab/>
      </w:r>
      <w:r w:rsidR="003474C7">
        <w:tab/>
      </w:r>
      <w:r w:rsidRPr="0096254D">
        <w:rPr>
          <w:rFonts w:ascii="Inter" w:hAnsi="Inter"/>
        </w:rPr>
        <w:t xml:space="preserve">Environment </w:t>
      </w:r>
      <w:r w:rsidR="003921E2">
        <w:rPr>
          <w:rFonts w:ascii="Inter" w:hAnsi="Inter"/>
        </w:rPr>
        <w:tab/>
      </w:r>
      <w:r w:rsidR="003921E2">
        <w:rPr>
          <w:rFonts w:ascii="Inter" w:hAnsi="Inter"/>
        </w:rPr>
        <w:tab/>
      </w:r>
      <w:r w:rsidR="003921E2">
        <w:rPr>
          <w:rFonts w:ascii="Inter" w:hAnsi="Inter"/>
        </w:rPr>
        <w:tab/>
      </w:r>
      <w:r w:rsidR="003921E2">
        <w:rPr>
          <w:rFonts w:ascii="Inter" w:hAnsi="Inter"/>
        </w:rPr>
        <w:tab/>
      </w:r>
      <w:r w:rsidR="003921E2">
        <w:rPr>
          <w:rFonts w:ascii="Inter" w:hAnsi="Inter"/>
        </w:rPr>
        <w:tab/>
      </w:r>
      <w:r w:rsidRPr="0096254D">
        <w:rPr>
          <w:rFonts w:ascii="Inter" w:hAnsi="Inter"/>
        </w:rPr>
        <w:t xml:space="preserve">HR &amp; IT </w:t>
      </w:r>
    </w:p>
    <w:p w14:paraId="08118F1B" w14:textId="77777777" w:rsidR="005D3B5D" w:rsidRDefault="005D3B5D" w:rsidP="005D3B5D">
      <w:pPr>
        <w:pStyle w:val="ListParagraph"/>
        <w:ind w:left="360"/>
        <w:rPr>
          <w:rFonts w:ascii="Inter" w:hAnsi="Inter"/>
        </w:rPr>
      </w:pPr>
    </w:p>
    <w:p w14:paraId="16A996A9" w14:textId="77777777" w:rsidR="005D3B5D" w:rsidRDefault="005D3B5D" w:rsidP="005D3B5D">
      <w:pPr>
        <w:pStyle w:val="ListParagraph"/>
        <w:ind w:left="360"/>
        <w:rPr>
          <w:rFonts w:ascii="Inter" w:hAnsi="Inter"/>
        </w:rPr>
      </w:pPr>
    </w:p>
    <w:p w14:paraId="73796804" w14:textId="29EFAF81" w:rsidR="4252674D" w:rsidRDefault="00195BDD" w:rsidP="008642F8">
      <w:pPr>
        <w:pStyle w:val="ListParagraph"/>
        <w:numPr>
          <w:ilvl w:val="0"/>
          <w:numId w:val="3"/>
        </w:numPr>
      </w:pPr>
      <w:r>
        <w:rPr>
          <w:rFonts w:ascii="Inter" w:hAnsi="Inter"/>
        </w:rPr>
        <w:t xml:space="preserve">The key financial risks are detailed in the body of the report. </w:t>
      </w:r>
      <w:r w:rsidR="4252674D">
        <w:br w:type="page"/>
      </w:r>
    </w:p>
    <w:p w14:paraId="77600979" w14:textId="6DF7D3D1" w:rsidR="0C26E4E3" w:rsidRDefault="00F409AC" w:rsidP="4252674D">
      <w:pPr>
        <w:ind w:left="284" w:hanging="284"/>
        <w:rPr>
          <w:rFonts w:ascii="Inter" w:hAnsi="Inter" w:cs="Arial"/>
          <w:b/>
          <w:bCs/>
        </w:rPr>
      </w:pPr>
      <w:r>
        <w:rPr>
          <w:rFonts w:ascii="Inter" w:hAnsi="Inter" w:cs="Arial"/>
          <w:b/>
          <w:bCs/>
        </w:rPr>
        <w:lastRenderedPageBreak/>
        <w:t xml:space="preserve">Appendix 1 </w:t>
      </w:r>
      <w:r w:rsidR="006F4910">
        <w:rPr>
          <w:rFonts w:ascii="Inter" w:hAnsi="Inter" w:cs="Arial"/>
          <w:b/>
          <w:bCs/>
        </w:rPr>
        <w:t xml:space="preserve">- </w:t>
      </w:r>
      <w:r w:rsidR="006F4910" w:rsidRPr="009D7A02">
        <w:rPr>
          <w:rFonts w:ascii="Inter" w:hAnsi="Inter" w:cs="Arial"/>
          <w:b/>
          <w:bCs/>
        </w:rPr>
        <w:t>TVCA MTFP 2026/27 to 2029/30</w:t>
      </w:r>
      <w:r w:rsidR="006F4910">
        <w:rPr>
          <w:rFonts w:ascii="Inter" w:hAnsi="Inter" w:cs="Arial"/>
          <w:b/>
          <w:bCs/>
        </w:rPr>
        <w:t>-by Directorate</w:t>
      </w:r>
    </w:p>
    <w:p w14:paraId="059EA6DD" w14:textId="77777777" w:rsidR="00250544" w:rsidRDefault="00250544" w:rsidP="4252674D">
      <w:pPr>
        <w:ind w:left="284" w:hanging="284"/>
        <w:rPr>
          <w:rFonts w:ascii="Inter" w:hAnsi="Inter" w:cs="Arial"/>
          <w:b/>
          <w:bCs/>
        </w:rPr>
      </w:pPr>
    </w:p>
    <w:tbl>
      <w:tblPr>
        <w:tblW w:w="9686" w:type="dxa"/>
        <w:tblLook w:val="04A0" w:firstRow="1" w:lastRow="0" w:firstColumn="1" w:lastColumn="0" w:noHBand="0" w:noVBand="1"/>
      </w:tblPr>
      <w:tblGrid>
        <w:gridCol w:w="1140"/>
        <w:gridCol w:w="4021"/>
        <w:gridCol w:w="1026"/>
        <w:gridCol w:w="1260"/>
        <w:gridCol w:w="1172"/>
        <w:gridCol w:w="1067"/>
      </w:tblGrid>
      <w:tr w:rsidR="00CD6EE7" w:rsidRPr="00CD6EE7" w14:paraId="3CB028A5" w14:textId="77777777" w:rsidTr="7DC21327">
        <w:trPr>
          <w:trHeight w:val="430"/>
        </w:trPr>
        <w:tc>
          <w:tcPr>
            <w:tcW w:w="1140" w:type="dxa"/>
            <w:tcBorders>
              <w:top w:val="single" w:sz="12" w:space="0" w:color="auto"/>
              <w:left w:val="single" w:sz="12" w:space="0" w:color="auto"/>
              <w:bottom w:val="nil"/>
              <w:right w:val="single" w:sz="4" w:space="0" w:color="auto"/>
            </w:tcBorders>
            <w:shd w:val="clear" w:color="auto" w:fill="E8E8E8"/>
            <w:hideMark/>
          </w:tcPr>
          <w:p w14:paraId="690546BF" w14:textId="5A78C31F" w:rsidR="00CD6EE7" w:rsidRPr="00CD6EE7" w:rsidRDefault="005A0712" w:rsidP="00CD6EE7">
            <w:pPr>
              <w:jc w:val="center"/>
              <w:rPr>
                <w:rFonts w:eastAsia="Times New Roman" w:cs="Times New Roman"/>
                <w:b/>
                <w:color w:val="000000"/>
                <w:kern w:val="0"/>
                <w:sz w:val="20"/>
                <w:szCs w:val="20"/>
                <w:lang w:eastAsia="en-GB"/>
                <w14:ligatures w14:val="none"/>
              </w:rPr>
            </w:pPr>
            <w:r>
              <w:rPr>
                <w:rFonts w:eastAsia="Times New Roman" w:cs="Times New Roman"/>
                <w:b/>
                <w:color w:val="000000"/>
                <w:kern w:val="0"/>
                <w:sz w:val="20"/>
                <w:szCs w:val="20"/>
                <w:lang w:eastAsia="en-GB"/>
                <w14:ligatures w14:val="none"/>
              </w:rPr>
              <w:t>Budget 2</w:t>
            </w:r>
            <w:r w:rsidR="00CD6EE7" w:rsidRPr="00CD6EE7">
              <w:rPr>
                <w:rFonts w:eastAsia="Times New Roman" w:cs="Times New Roman"/>
                <w:b/>
                <w:color w:val="000000"/>
                <w:kern w:val="0"/>
                <w:sz w:val="20"/>
                <w:szCs w:val="20"/>
                <w:lang w:eastAsia="en-GB"/>
                <w14:ligatures w14:val="none"/>
              </w:rPr>
              <w:t>025/26</w:t>
            </w:r>
          </w:p>
        </w:tc>
        <w:tc>
          <w:tcPr>
            <w:tcW w:w="4021" w:type="dxa"/>
            <w:tcBorders>
              <w:top w:val="single" w:sz="12" w:space="0" w:color="auto"/>
              <w:left w:val="single" w:sz="12" w:space="0" w:color="auto"/>
              <w:bottom w:val="nil"/>
              <w:right w:val="single" w:sz="12" w:space="0" w:color="auto"/>
            </w:tcBorders>
            <w:shd w:val="clear" w:color="auto" w:fill="E8E8E8"/>
            <w:noWrap/>
            <w:vAlign w:val="bottom"/>
            <w:hideMark/>
          </w:tcPr>
          <w:p w14:paraId="0A77F730" w14:textId="77777777" w:rsidR="00CD6EE7" w:rsidRPr="00CD6EE7" w:rsidRDefault="00CD6EE7" w:rsidP="00CD6EE7">
            <w:pP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MAYOR</w:t>
            </w:r>
          </w:p>
        </w:tc>
        <w:tc>
          <w:tcPr>
            <w:tcW w:w="1026" w:type="dxa"/>
            <w:tcBorders>
              <w:top w:val="single" w:sz="12" w:space="0" w:color="auto"/>
              <w:left w:val="nil"/>
              <w:bottom w:val="nil"/>
              <w:right w:val="single" w:sz="12" w:space="0" w:color="auto"/>
            </w:tcBorders>
            <w:shd w:val="clear" w:color="auto" w:fill="E8E8E8"/>
            <w:hideMark/>
          </w:tcPr>
          <w:p w14:paraId="3752B232" w14:textId="77777777" w:rsidR="00CD6EE7" w:rsidRPr="00CD6EE7" w:rsidRDefault="00CD6EE7" w:rsidP="00CD6EE7">
            <w:pPr>
              <w:jc w:val="cente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Budget 2026/27</w:t>
            </w:r>
          </w:p>
        </w:tc>
        <w:tc>
          <w:tcPr>
            <w:tcW w:w="1260" w:type="dxa"/>
            <w:tcBorders>
              <w:top w:val="single" w:sz="12" w:space="0" w:color="auto"/>
              <w:left w:val="nil"/>
              <w:bottom w:val="nil"/>
              <w:right w:val="single" w:sz="12" w:space="0" w:color="auto"/>
            </w:tcBorders>
            <w:shd w:val="clear" w:color="auto" w:fill="E8E8E8"/>
            <w:hideMark/>
          </w:tcPr>
          <w:p w14:paraId="7A8B061F" w14:textId="77777777" w:rsidR="00CD6EE7" w:rsidRPr="00CD6EE7" w:rsidRDefault="00CD6EE7" w:rsidP="00CD6EE7">
            <w:pPr>
              <w:jc w:val="cente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Budget 2027/28</w:t>
            </w:r>
          </w:p>
        </w:tc>
        <w:tc>
          <w:tcPr>
            <w:tcW w:w="1172" w:type="dxa"/>
            <w:tcBorders>
              <w:top w:val="single" w:sz="12" w:space="0" w:color="auto"/>
              <w:left w:val="nil"/>
              <w:bottom w:val="nil"/>
              <w:right w:val="single" w:sz="12" w:space="0" w:color="auto"/>
            </w:tcBorders>
            <w:shd w:val="clear" w:color="auto" w:fill="E8E8E8"/>
            <w:hideMark/>
          </w:tcPr>
          <w:p w14:paraId="4276CAEC" w14:textId="77777777" w:rsidR="00CD6EE7" w:rsidRPr="00CD6EE7" w:rsidRDefault="00CD6EE7" w:rsidP="00CD6EE7">
            <w:pPr>
              <w:jc w:val="cente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Budget 2028/29</w:t>
            </w:r>
          </w:p>
        </w:tc>
        <w:tc>
          <w:tcPr>
            <w:tcW w:w="1067" w:type="dxa"/>
            <w:tcBorders>
              <w:top w:val="single" w:sz="12" w:space="0" w:color="auto"/>
              <w:left w:val="nil"/>
              <w:bottom w:val="nil"/>
              <w:right w:val="single" w:sz="12" w:space="0" w:color="auto"/>
            </w:tcBorders>
            <w:shd w:val="clear" w:color="auto" w:fill="E8E8E8"/>
            <w:hideMark/>
          </w:tcPr>
          <w:p w14:paraId="62539CB8" w14:textId="77777777" w:rsidR="00CD6EE7" w:rsidRPr="00CD6EE7" w:rsidRDefault="00CD6EE7" w:rsidP="00CD6EE7">
            <w:pPr>
              <w:jc w:val="cente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Budget 2029/30</w:t>
            </w:r>
          </w:p>
        </w:tc>
      </w:tr>
      <w:tr w:rsidR="00CD6EE7" w:rsidRPr="00CD6EE7" w14:paraId="7E8B1561" w14:textId="77777777" w:rsidTr="7DC21327">
        <w:trPr>
          <w:trHeight w:val="270"/>
        </w:trPr>
        <w:tc>
          <w:tcPr>
            <w:tcW w:w="1140" w:type="dxa"/>
            <w:tcBorders>
              <w:top w:val="nil"/>
              <w:left w:val="single" w:sz="12" w:space="0" w:color="auto"/>
              <w:bottom w:val="single" w:sz="12" w:space="0" w:color="auto"/>
              <w:right w:val="single" w:sz="4" w:space="0" w:color="auto"/>
            </w:tcBorders>
            <w:shd w:val="clear" w:color="auto" w:fill="E8E8E8"/>
            <w:noWrap/>
            <w:vAlign w:val="bottom"/>
            <w:hideMark/>
          </w:tcPr>
          <w:p w14:paraId="4D1407B3" w14:textId="77777777" w:rsidR="00CD6EE7" w:rsidRPr="00CD6EE7" w:rsidRDefault="00CD6EE7" w:rsidP="00CD6EE7">
            <w:pPr>
              <w:jc w:val="cente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£'000</w:t>
            </w:r>
          </w:p>
        </w:tc>
        <w:tc>
          <w:tcPr>
            <w:tcW w:w="4021" w:type="dxa"/>
            <w:tcBorders>
              <w:top w:val="nil"/>
              <w:left w:val="single" w:sz="12" w:space="0" w:color="auto"/>
              <w:bottom w:val="single" w:sz="12" w:space="0" w:color="auto"/>
              <w:right w:val="single" w:sz="12" w:space="0" w:color="auto"/>
            </w:tcBorders>
            <w:shd w:val="clear" w:color="auto" w:fill="E8E8E8"/>
            <w:noWrap/>
            <w:vAlign w:val="bottom"/>
            <w:hideMark/>
          </w:tcPr>
          <w:p w14:paraId="14783BFE" w14:textId="77777777" w:rsidR="00CD6EE7" w:rsidRPr="00CD6EE7" w:rsidRDefault="00CD6EE7" w:rsidP="00CD6EE7">
            <w:pP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 xml:space="preserve">Type of Expenditure / Income </w:t>
            </w:r>
          </w:p>
        </w:tc>
        <w:tc>
          <w:tcPr>
            <w:tcW w:w="1026" w:type="dxa"/>
            <w:tcBorders>
              <w:top w:val="nil"/>
              <w:left w:val="nil"/>
              <w:bottom w:val="single" w:sz="12" w:space="0" w:color="auto"/>
              <w:right w:val="single" w:sz="12" w:space="0" w:color="auto"/>
            </w:tcBorders>
            <w:shd w:val="clear" w:color="auto" w:fill="E8E8E8"/>
            <w:noWrap/>
            <w:vAlign w:val="bottom"/>
            <w:hideMark/>
          </w:tcPr>
          <w:p w14:paraId="63A22A35" w14:textId="77777777" w:rsidR="00CD6EE7" w:rsidRPr="00CD6EE7" w:rsidRDefault="00CD6EE7" w:rsidP="00CD6EE7">
            <w:pPr>
              <w:jc w:val="cente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£'000</w:t>
            </w:r>
          </w:p>
        </w:tc>
        <w:tc>
          <w:tcPr>
            <w:tcW w:w="1260" w:type="dxa"/>
            <w:tcBorders>
              <w:top w:val="nil"/>
              <w:left w:val="nil"/>
              <w:bottom w:val="single" w:sz="12" w:space="0" w:color="auto"/>
              <w:right w:val="single" w:sz="12" w:space="0" w:color="auto"/>
            </w:tcBorders>
            <w:shd w:val="clear" w:color="auto" w:fill="E8E8E8"/>
            <w:noWrap/>
            <w:vAlign w:val="bottom"/>
            <w:hideMark/>
          </w:tcPr>
          <w:p w14:paraId="5F3A102A" w14:textId="77777777" w:rsidR="00CD6EE7" w:rsidRPr="00CD6EE7" w:rsidRDefault="00CD6EE7" w:rsidP="00CD6EE7">
            <w:pPr>
              <w:jc w:val="cente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518AFE16" w14:textId="77777777" w:rsidR="00CD6EE7" w:rsidRPr="00CD6EE7" w:rsidRDefault="00CD6EE7" w:rsidP="00CD6EE7">
            <w:pPr>
              <w:jc w:val="cente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£'000</w:t>
            </w:r>
          </w:p>
        </w:tc>
        <w:tc>
          <w:tcPr>
            <w:tcW w:w="1067" w:type="dxa"/>
            <w:tcBorders>
              <w:top w:val="nil"/>
              <w:left w:val="nil"/>
              <w:bottom w:val="single" w:sz="12" w:space="0" w:color="auto"/>
              <w:right w:val="single" w:sz="12" w:space="0" w:color="auto"/>
            </w:tcBorders>
            <w:shd w:val="clear" w:color="auto" w:fill="E8E8E8"/>
            <w:noWrap/>
            <w:vAlign w:val="bottom"/>
            <w:hideMark/>
          </w:tcPr>
          <w:p w14:paraId="5C42823C" w14:textId="77777777" w:rsidR="00CD6EE7" w:rsidRPr="00CD6EE7" w:rsidRDefault="00CD6EE7" w:rsidP="005A0712">
            <w:pPr>
              <w:rPr>
                <w:rFonts w:eastAsia="Times New Roman" w:cs="Times New Roman"/>
                <w:b/>
                <w:color w:val="000000"/>
                <w:kern w:val="0"/>
                <w:sz w:val="20"/>
                <w:szCs w:val="20"/>
                <w:lang w:eastAsia="en-GB"/>
                <w14:ligatures w14:val="none"/>
              </w:rPr>
            </w:pPr>
            <w:r w:rsidRPr="00CD6EE7">
              <w:rPr>
                <w:rFonts w:eastAsia="Times New Roman" w:cs="Times New Roman"/>
                <w:b/>
                <w:color w:val="000000"/>
                <w:kern w:val="0"/>
                <w:sz w:val="20"/>
                <w:szCs w:val="20"/>
                <w:lang w:eastAsia="en-GB"/>
                <w14:ligatures w14:val="none"/>
              </w:rPr>
              <w:t>£'000</w:t>
            </w:r>
          </w:p>
        </w:tc>
      </w:tr>
      <w:tr w:rsidR="00CD6EE7" w:rsidRPr="008D21C4" w14:paraId="3B59B2EF" w14:textId="77777777" w:rsidTr="7DC21327">
        <w:trPr>
          <w:trHeight w:val="270"/>
        </w:trPr>
        <w:tc>
          <w:tcPr>
            <w:tcW w:w="1140" w:type="dxa"/>
            <w:tcBorders>
              <w:top w:val="single" w:sz="4" w:space="0" w:color="auto"/>
              <w:left w:val="single" w:sz="12" w:space="0" w:color="auto"/>
              <w:bottom w:val="single" w:sz="4" w:space="0" w:color="auto"/>
              <w:right w:val="single" w:sz="4" w:space="0" w:color="auto"/>
            </w:tcBorders>
            <w:noWrap/>
            <w:vAlign w:val="bottom"/>
            <w:hideMark/>
          </w:tcPr>
          <w:p w14:paraId="38C0256C" w14:textId="5B1A2908"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263</w:t>
            </w:r>
          </w:p>
        </w:tc>
        <w:tc>
          <w:tcPr>
            <w:tcW w:w="402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3E686B6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Employees</w:t>
            </w:r>
          </w:p>
        </w:tc>
        <w:tc>
          <w:tcPr>
            <w:tcW w:w="1026" w:type="dxa"/>
            <w:tcBorders>
              <w:top w:val="single" w:sz="4" w:space="0" w:color="auto"/>
              <w:left w:val="nil"/>
              <w:bottom w:val="single" w:sz="4" w:space="0" w:color="auto"/>
              <w:right w:val="single" w:sz="4" w:space="0" w:color="auto"/>
            </w:tcBorders>
            <w:noWrap/>
            <w:vAlign w:val="bottom"/>
            <w:hideMark/>
          </w:tcPr>
          <w:p w14:paraId="46EC95EC" w14:textId="508DB943" w:rsidR="00CD6EE7" w:rsidRPr="008D21C4" w:rsidRDefault="00C5071D" w:rsidP="000E0958">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w:t>
            </w:r>
            <w:r w:rsidR="00B86CD7">
              <w:rPr>
                <w:rFonts w:eastAsia="Times New Roman" w:cs="Times New Roman"/>
                <w:b/>
                <w:bCs/>
                <w:color w:val="000000"/>
                <w:kern w:val="0"/>
                <w:sz w:val="20"/>
                <w:szCs w:val="20"/>
                <w:lang w:eastAsia="en-GB"/>
                <w14:ligatures w14:val="none"/>
              </w:rPr>
              <w:t>52</w:t>
            </w:r>
          </w:p>
        </w:tc>
        <w:tc>
          <w:tcPr>
            <w:tcW w:w="1260" w:type="dxa"/>
            <w:tcBorders>
              <w:top w:val="single" w:sz="4" w:space="0" w:color="auto"/>
              <w:left w:val="single" w:sz="12" w:space="0" w:color="auto"/>
              <w:bottom w:val="single" w:sz="4" w:space="0" w:color="auto"/>
              <w:right w:val="single" w:sz="4" w:space="0" w:color="auto"/>
            </w:tcBorders>
            <w:noWrap/>
            <w:vAlign w:val="bottom"/>
            <w:hideMark/>
          </w:tcPr>
          <w:p w14:paraId="7D405A38" w14:textId="143E23E1" w:rsidR="00CD6EE7" w:rsidRPr="008D21C4" w:rsidRDefault="00C5071D" w:rsidP="000E0958">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w:t>
            </w:r>
            <w:r w:rsidR="00B86CD7">
              <w:rPr>
                <w:rFonts w:eastAsia="Times New Roman" w:cs="Times New Roman"/>
                <w:b/>
                <w:bCs/>
                <w:color w:val="000000"/>
                <w:kern w:val="0"/>
                <w:sz w:val="20"/>
                <w:szCs w:val="20"/>
                <w:lang w:eastAsia="en-GB"/>
                <w14:ligatures w14:val="none"/>
              </w:rPr>
              <w:t>64</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28D20E3B" w14:textId="718CED4F" w:rsidR="00CD6EE7" w:rsidRPr="008D21C4" w:rsidRDefault="00C5071D" w:rsidP="000E0958">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w:t>
            </w:r>
            <w:r w:rsidR="00B86CD7">
              <w:rPr>
                <w:rFonts w:eastAsia="Times New Roman" w:cs="Times New Roman"/>
                <w:b/>
                <w:bCs/>
                <w:color w:val="000000"/>
                <w:kern w:val="0"/>
                <w:sz w:val="20"/>
                <w:szCs w:val="20"/>
                <w:lang w:eastAsia="en-GB"/>
                <w14:ligatures w14:val="none"/>
              </w:rPr>
              <w:t>76</w:t>
            </w:r>
          </w:p>
        </w:tc>
        <w:tc>
          <w:tcPr>
            <w:tcW w:w="1067" w:type="dxa"/>
            <w:tcBorders>
              <w:top w:val="single" w:sz="4" w:space="0" w:color="auto"/>
              <w:left w:val="single" w:sz="12" w:space="0" w:color="auto"/>
              <w:bottom w:val="single" w:sz="4" w:space="0" w:color="auto"/>
              <w:right w:val="single" w:sz="12" w:space="0" w:color="auto"/>
            </w:tcBorders>
            <w:noWrap/>
            <w:vAlign w:val="bottom"/>
            <w:hideMark/>
          </w:tcPr>
          <w:p w14:paraId="1D78B8E4" w14:textId="4F94501F" w:rsidR="00CD6EE7" w:rsidRPr="008D21C4" w:rsidRDefault="006C6113" w:rsidP="000E0958">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w:t>
            </w:r>
            <w:r w:rsidR="00B86CD7">
              <w:rPr>
                <w:rFonts w:eastAsia="Times New Roman" w:cs="Times New Roman"/>
                <w:b/>
                <w:bCs/>
                <w:color w:val="000000"/>
                <w:kern w:val="0"/>
                <w:sz w:val="20"/>
                <w:szCs w:val="20"/>
                <w:lang w:eastAsia="en-GB"/>
                <w14:ligatures w14:val="none"/>
              </w:rPr>
              <w:t>89</w:t>
            </w:r>
          </w:p>
        </w:tc>
      </w:tr>
      <w:tr w:rsidR="00CD6EE7" w:rsidRPr="008D21C4" w14:paraId="3759A20C"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7B3245D3" w14:textId="094810F9"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52ADA90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Premises</w:t>
            </w:r>
          </w:p>
        </w:tc>
        <w:tc>
          <w:tcPr>
            <w:tcW w:w="1026" w:type="dxa"/>
            <w:tcBorders>
              <w:top w:val="nil"/>
              <w:left w:val="nil"/>
              <w:bottom w:val="single" w:sz="4" w:space="0" w:color="auto"/>
              <w:right w:val="single" w:sz="4" w:space="0" w:color="auto"/>
            </w:tcBorders>
            <w:noWrap/>
            <w:vAlign w:val="bottom"/>
            <w:hideMark/>
          </w:tcPr>
          <w:p w14:paraId="6B3AA1FF" w14:textId="57E35703"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4365AAC6" w14:textId="22854E54"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E554094" w14:textId="1810AACB"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179B2EA8" w14:textId="6D39BD7D"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4429AA3A"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04AA76FC" w14:textId="1DDB32CE"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9</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1AA3661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Transport</w:t>
            </w:r>
          </w:p>
        </w:tc>
        <w:tc>
          <w:tcPr>
            <w:tcW w:w="1026" w:type="dxa"/>
            <w:tcBorders>
              <w:top w:val="nil"/>
              <w:left w:val="nil"/>
              <w:bottom w:val="single" w:sz="4" w:space="0" w:color="auto"/>
              <w:right w:val="single" w:sz="4" w:space="0" w:color="auto"/>
            </w:tcBorders>
            <w:noWrap/>
            <w:vAlign w:val="bottom"/>
            <w:hideMark/>
          </w:tcPr>
          <w:p w14:paraId="0990FB5E" w14:textId="6AE07E9E"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r w:rsidR="00FB2CB3">
              <w:rPr>
                <w:rFonts w:eastAsia="Times New Roman" w:cs="Times New Roman"/>
                <w:b/>
                <w:bCs/>
                <w:color w:val="000000"/>
                <w:kern w:val="0"/>
                <w:sz w:val="20"/>
                <w:szCs w:val="20"/>
                <w:lang w:eastAsia="en-GB"/>
                <w14:ligatures w14:val="none"/>
              </w:rPr>
              <w:t>3</w:t>
            </w:r>
          </w:p>
        </w:tc>
        <w:tc>
          <w:tcPr>
            <w:tcW w:w="1260" w:type="dxa"/>
            <w:tcBorders>
              <w:top w:val="nil"/>
              <w:left w:val="single" w:sz="12" w:space="0" w:color="auto"/>
              <w:bottom w:val="single" w:sz="4" w:space="0" w:color="auto"/>
              <w:right w:val="single" w:sz="4" w:space="0" w:color="auto"/>
            </w:tcBorders>
            <w:noWrap/>
            <w:vAlign w:val="bottom"/>
            <w:hideMark/>
          </w:tcPr>
          <w:p w14:paraId="1A080BA9" w14:textId="088C13B8"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r w:rsidR="000C35D0">
              <w:rPr>
                <w:rFonts w:eastAsia="Times New Roman" w:cs="Times New Roman"/>
                <w:b/>
                <w:bCs/>
                <w:color w:val="000000"/>
                <w:kern w:val="0"/>
                <w:sz w:val="20"/>
                <w:szCs w:val="20"/>
                <w:lang w:eastAsia="en-GB"/>
                <w14:ligatures w14:val="none"/>
              </w:rPr>
              <w:t>3</w:t>
            </w:r>
          </w:p>
        </w:tc>
        <w:tc>
          <w:tcPr>
            <w:tcW w:w="1172" w:type="dxa"/>
            <w:tcBorders>
              <w:top w:val="nil"/>
              <w:left w:val="single" w:sz="12" w:space="0" w:color="auto"/>
              <w:bottom w:val="single" w:sz="4" w:space="0" w:color="auto"/>
              <w:right w:val="single" w:sz="4" w:space="0" w:color="auto"/>
            </w:tcBorders>
            <w:noWrap/>
            <w:vAlign w:val="bottom"/>
            <w:hideMark/>
          </w:tcPr>
          <w:p w14:paraId="41B402F3" w14:textId="632D9AD8"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r w:rsidR="000C35D0">
              <w:rPr>
                <w:rFonts w:eastAsia="Times New Roman" w:cs="Times New Roman"/>
                <w:b/>
                <w:bCs/>
                <w:color w:val="000000"/>
                <w:kern w:val="0"/>
                <w:sz w:val="20"/>
                <w:szCs w:val="20"/>
                <w:lang w:eastAsia="en-GB"/>
                <w14:ligatures w14:val="none"/>
              </w:rPr>
              <w:t>3</w:t>
            </w:r>
          </w:p>
        </w:tc>
        <w:tc>
          <w:tcPr>
            <w:tcW w:w="1067" w:type="dxa"/>
            <w:tcBorders>
              <w:top w:val="nil"/>
              <w:left w:val="single" w:sz="12" w:space="0" w:color="auto"/>
              <w:bottom w:val="single" w:sz="4" w:space="0" w:color="auto"/>
              <w:right w:val="single" w:sz="12" w:space="0" w:color="auto"/>
            </w:tcBorders>
            <w:noWrap/>
            <w:vAlign w:val="bottom"/>
            <w:hideMark/>
          </w:tcPr>
          <w:p w14:paraId="31E1F2BA" w14:textId="5CE33E47"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r w:rsidR="000C35D0">
              <w:rPr>
                <w:rFonts w:eastAsia="Times New Roman" w:cs="Times New Roman"/>
                <w:b/>
                <w:bCs/>
                <w:color w:val="000000"/>
                <w:kern w:val="0"/>
                <w:sz w:val="20"/>
                <w:szCs w:val="20"/>
                <w:lang w:eastAsia="en-GB"/>
                <w14:ligatures w14:val="none"/>
              </w:rPr>
              <w:t>3</w:t>
            </w:r>
          </w:p>
        </w:tc>
      </w:tr>
      <w:tr w:rsidR="00CD6EE7" w:rsidRPr="008D21C4" w14:paraId="5B6747CE"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0D74590D" w14:textId="40BF854D"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4389035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Supplies and Services</w:t>
            </w:r>
          </w:p>
        </w:tc>
        <w:tc>
          <w:tcPr>
            <w:tcW w:w="1026" w:type="dxa"/>
            <w:tcBorders>
              <w:top w:val="nil"/>
              <w:left w:val="nil"/>
              <w:bottom w:val="single" w:sz="4" w:space="0" w:color="auto"/>
              <w:right w:val="single" w:sz="4" w:space="0" w:color="auto"/>
            </w:tcBorders>
            <w:noWrap/>
            <w:vAlign w:val="bottom"/>
            <w:hideMark/>
          </w:tcPr>
          <w:p w14:paraId="7A52F719" w14:textId="58D2AD88"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260" w:type="dxa"/>
            <w:tcBorders>
              <w:top w:val="nil"/>
              <w:left w:val="single" w:sz="12" w:space="0" w:color="auto"/>
              <w:bottom w:val="single" w:sz="4" w:space="0" w:color="auto"/>
              <w:right w:val="single" w:sz="4" w:space="0" w:color="auto"/>
            </w:tcBorders>
            <w:noWrap/>
            <w:vAlign w:val="bottom"/>
            <w:hideMark/>
          </w:tcPr>
          <w:p w14:paraId="5BDE84FF" w14:textId="526B4D69"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172" w:type="dxa"/>
            <w:tcBorders>
              <w:top w:val="nil"/>
              <w:left w:val="single" w:sz="12" w:space="0" w:color="auto"/>
              <w:bottom w:val="single" w:sz="4" w:space="0" w:color="auto"/>
              <w:right w:val="single" w:sz="4" w:space="0" w:color="auto"/>
            </w:tcBorders>
            <w:noWrap/>
            <w:vAlign w:val="bottom"/>
            <w:hideMark/>
          </w:tcPr>
          <w:p w14:paraId="02A121DA" w14:textId="12BF5AFE"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067" w:type="dxa"/>
            <w:tcBorders>
              <w:top w:val="nil"/>
              <w:left w:val="single" w:sz="12" w:space="0" w:color="auto"/>
              <w:bottom w:val="single" w:sz="4" w:space="0" w:color="auto"/>
              <w:right w:val="single" w:sz="12" w:space="0" w:color="auto"/>
            </w:tcBorders>
            <w:noWrap/>
            <w:vAlign w:val="bottom"/>
            <w:hideMark/>
          </w:tcPr>
          <w:p w14:paraId="7A9C5B4B" w14:textId="35A2C9A0"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r>
      <w:tr w:rsidR="00CD6EE7" w:rsidRPr="008D21C4" w14:paraId="4DE3CE4D"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243A8879" w14:textId="53722FCB"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74924D3D" w14:textId="7450C331" w:rsidR="00CD6EE7" w:rsidRPr="008D21C4" w:rsidRDefault="00D6247B" w:rsidP="00CD6EE7">
            <w:pPr>
              <w:rPr>
                <w:rFonts w:eastAsia="Times New Roman" w:cs="Times New Roman"/>
                <w:b/>
                <w:bCs/>
                <w:color w:val="000000"/>
                <w:kern w:val="0"/>
                <w:sz w:val="20"/>
                <w:szCs w:val="20"/>
                <w:lang w:eastAsia="en-GB"/>
                <w14:ligatures w14:val="none"/>
              </w:rPr>
            </w:pPr>
            <w:r w:rsidRPr="008D21C4">
              <w:rPr>
                <w:rFonts w:eastAsia="Times New Roman" w:cs="Times New Roman"/>
                <w:b/>
                <w:color w:val="000000"/>
                <w:kern w:val="0"/>
                <w:sz w:val="20"/>
                <w:szCs w:val="20"/>
                <w:lang w:eastAsia="en-GB"/>
                <w14:ligatures w14:val="none"/>
              </w:rPr>
              <w:t>Corporat</w:t>
            </w:r>
            <w:r w:rsidR="001F276A">
              <w:rPr>
                <w:rFonts w:eastAsia="Times New Roman" w:cs="Times New Roman"/>
                <w:b/>
                <w:color w:val="000000"/>
                <w:kern w:val="0"/>
                <w:sz w:val="20"/>
                <w:szCs w:val="20"/>
                <w:lang w:eastAsia="en-GB"/>
                <w14:ligatures w14:val="none"/>
              </w:rPr>
              <w:t>e</w:t>
            </w:r>
            <w:r w:rsidR="005B150A">
              <w:rPr>
                <w:rFonts w:eastAsia="Times New Roman" w:cs="Times New Roman"/>
                <w:b/>
                <w:color w:val="000000"/>
                <w:kern w:val="0"/>
                <w:sz w:val="20"/>
                <w:szCs w:val="20"/>
                <w:lang w:eastAsia="en-GB"/>
                <w14:ligatures w14:val="none"/>
              </w:rPr>
              <w:t xml:space="preserve"> Support Recharge</w:t>
            </w:r>
            <w:r w:rsidR="007C7FFE">
              <w:rPr>
                <w:rFonts w:eastAsia="Times New Roman" w:cs="Times New Roman"/>
                <w:b/>
                <w:color w:val="000000"/>
                <w:kern w:val="0"/>
                <w:sz w:val="20"/>
                <w:szCs w:val="20"/>
                <w:lang w:eastAsia="en-GB"/>
                <w14:ligatures w14:val="none"/>
              </w:rPr>
              <w:t>s</w:t>
            </w:r>
          </w:p>
        </w:tc>
        <w:tc>
          <w:tcPr>
            <w:tcW w:w="1026" w:type="dxa"/>
            <w:tcBorders>
              <w:top w:val="nil"/>
              <w:left w:val="nil"/>
              <w:bottom w:val="single" w:sz="4" w:space="0" w:color="auto"/>
              <w:right w:val="single" w:sz="4" w:space="0" w:color="auto"/>
            </w:tcBorders>
            <w:noWrap/>
            <w:vAlign w:val="bottom"/>
            <w:hideMark/>
          </w:tcPr>
          <w:p w14:paraId="2BAA21B6" w14:textId="41DCBA63" w:rsidR="00CD6EE7" w:rsidRPr="008D21C4" w:rsidRDefault="00FB2CB3" w:rsidP="000E0958">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20</w:t>
            </w:r>
          </w:p>
        </w:tc>
        <w:tc>
          <w:tcPr>
            <w:tcW w:w="1260" w:type="dxa"/>
            <w:tcBorders>
              <w:top w:val="nil"/>
              <w:left w:val="single" w:sz="12" w:space="0" w:color="auto"/>
              <w:bottom w:val="single" w:sz="4" w:space="0" w:color="auto"/>
              <w:right w:val="single" w:sz="4" w:space="0" w:color="auto"/>
            </w:tcBorders>
            <w:noWrap/>
            <w:vAlign w:val="bottom"/>
            <w:hideMark/>
          </w:tcPr>
          <w:p w14:paraId="38DC0308" w14:textId="00C6F16C" w:rsidR="00CD6EE7" w:rsidRPr="008D21C4" w:rsidRDefault="00343EC6"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w:t>
            </w:r>
            <w:r w:rsidR="000C35D0">
              <w:rPr>
                <w:rFonts w:eastAsia="Times New Roman" w:cs="Times New Roman"/>
                <w:b/>
                <w:bCs/>
                <w:color w:val="000000"/>
                <w:kern w:val="0"/>
                <w:sz w:val="20"/>
                <w:szCs w:val="20"/>
                <w:lang w:eastAsia="en-GB"/>
                <w14:ligatures w14:val="none"/>
              </w:rPr>
              <w:t>1</w:t>
            </w:r>
          </w:p>
        </w:tc>
        <w:tc>
          <w:tcPr>
            <w:tcW w:w="1172" w:type="dxa"/>
            <w:tcBorders>
              <w:top w:val="nil"/>
              <w:left w:val="single" w:sz="12" w:space="0" w:color="auto"/>
              <w:bottom w:val="single" w:sz="4" w:space="0" w:color="auto"/>
              <w:right w:val="single" w:sz="4" w:space="0" w:color="auto"/>
            </w:tcBorders>
            <w:noWrap/>
            <w:vAlign w:val="bottom"/>
            <w:hideMark/>
          </w:tcPr>
          <w:p w14:paraId="6B6D216C" w14:textId="3E6B881E" w:rsidR="00CD6EE7" w:rsidRPr="008D21C4" w:rsidRDefault="00343EC6"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w:t>
            </w:r>
            <w:r w:rsidR="000C35D0">
              <w:rPr>
                <w:rFonts w:eastAsia="Times New Roman" w:cs="Times New Roman"/>
                <w:b/>
                <w:bCs/>
                <w:color w:val="000000"/>
                <w:kern w:val="0"/>
                <w:sz w:val="20"/>
                <w:szCs w:val="20"/>
                <w:lang w:eastAsia="en-GB"/>
                <w14:ligatures w14:val="none"/>
              </w:rPr>
              <w:t>1</w:t>
            </w:r>
          </w:p>
        </w:tc>
        <w:tc>
          <w:tcPr>
            <w:tcW w:w="1067" w:type="dxa"/>
            <w:tcBorders>
              <w:top w:val="nil"/>
              <w:left w:val="single" w:sz="12" w:space="0" w:color="auto"/>
              <w:bottom w:val="single" w:sz="4" w:space="0" w:color="auto"/>
              <w:right w:val="single" w:sz="12" w:space="0" w:color="auto"/>
            </w:tcBorders>
            <w:noWrap/>
            <w:vAlign w:val="bottom"/>
            <w:hideMark/>
          </w:tcPr>
          <w:p w14:paraId="54A80C11" w14:textId="2280B16A" w:rsidR="00CD6EE7" w:rsidRPr="008D21C4" w:rsidRDefault="00343EC6"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w:t>
            </w:r>
            <w:r w:rsidR="000C35D0">
              <w:rPr>
                <w:rFonts w:eastAsia="Times New Roman" w:cs="Times New Roman"/>
                <w:b/>
                <w:bCs/>
                <w:color w:val="000000"/>
                <w:kern w:val="0"/>
                <w:sz w:val="20"/>
                <w:szCs w:val="20"/>
                <w:lang w:eastAsia="en-GB"/>
                <w14:ligatures w14:val="none"/>
              </w:rPr>
              <w:t>1</w:t>
            </w:r>
          </w:p>
        </w:tc>
      </w:tr>
      <w:tr w:rsidR="00CD6EE7" w:rsidRPr="008D21C4" w14:paraId="4440E77C"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376E4FEB" w14:textId="4851554D"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1DFCAC16"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Third Party Payments</w:t>
            </w:r>
          </w:p>
        </w:tc>
        <w:tc>
          <w:tcPr>
            <w:tcW w:w="1026" w:type="dxa"/>
            <w:tcBorders>
              <w:top w:val="nil"/>
              <w:left w:val="nil"/>
              <w:bottom w:val="single" w:sz="4" w:space="0" w:color="auto"/>
              <w:right w:val="single" w:sz="4" w:space="0" w:color="auto"/>
            </w:tcBorders>
            <w:noWrap/>
            <w:vAlign w:val="bottom"/>
            <w:hideMark/>
          </w:tcPr>
          <w:p w14:paraId="016286F0" w14:textId="32A8DDB7"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3BDF487B" w14:textId="190DEAA2"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FEC5F5D" w14:textId="6D509BD7"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2A135F6F" w14:textId="33335EF8"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29A99E28" w14:textId="77777777" w:rsidTr="7DC21327">
        <w:trPr>
          <w:trHeight w:val="270"/>
        </w:trPr>
        <w:tc>
          <w:tcPr>
            <w:tcW w:w="1140" w:type="dxa"/>
            <w:tcBorders>
              <w:top w:val="nil"/>
              <w:left w:val="single" w:sz="12" w:space="0" w:color="auto"/>
              <w:bottom w:val="single" w:sz="4" w:space="0" w:color="auto"/>
              <w:right w:val="single" w:sz="4" w:space="0" w:color="auto"/>
            </w:tcBorders>
            <w:noWrap/>
            <w:vAlign w:val="bottom"/>
            <w:hideMark/>
          </w:tcPr>
          <w:p w14:paraId="08FD68CD" w14:textId="05686E25"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7CAA3166" w14:textId="24E98DF8" w:rsidR="00CD6EE7" w:rsidRPr="008D21C4" w:rsidRDefault="00866ED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Central </w:t>
            </w:r>
            <w:r w:rsidR="00782027" w:rsidRPr="008D21C4">
              <w:rPr>
                <w:rFonts w:eastAsia="Times New Roman" w:cs="Times New Roman"/>
                <w:b/>
                <w:bCs/>
                <w:color w:val="000000"/>
                <w:kern w:val="0"/>
                <w:sz w:val="20"/>
                <w:szCs w:val="20"/>
                <w:lang w:eastAsia="en-GB"/>
                <w14:ligatures w14:val="none"/>
              </w:rPr>
              <w:t>Costs</w:t>
            </w:r>
          </w:p>
        </w:tc>
        <w:tc>
          <w:tcPr>
            <w:tcW w:w="1026" w:type="dxa"/>
            <w:tcBorders>
              <w:top w:val="nil"/>
              <w:left w:val="nil"/>
              <w:bottom w:val="single" w:sz="4" w:space="0" w:color="auto"/>
              <w:right w:val="single" w:sz="4" w:space="0" w:color="auto"/>
            </w:tcBorders>
            <w:noWrap/>
            <w:vAlign w:val="bottom"/>
            <w:hideMark/>
          </w:tcPr>
          <w:p w14:paraId="28360759" w14:textId="6A05AE07"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3BC4AD63" w14:textId="28B9DDF8"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33C7075" w14:textId="40F8959A"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40B2E28A" w14:textId="3DBD827E" w:rsidR="00CD6EE7" w:rsidRPr="008D21C4" w:rsidRDefault="00CD6EE7" w:rsidP="000E0958">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C586A" w:rsidRPr="008D21C4" w14:paraId="27BA218B" w14:textId="77777777" w:rsidTr="7DC21327">
        <w:trPr>
          <w:trHeight w:val="280"/>
        </w:trPr>
        <w:tc>
          <w:tcPr>
            <w:tcW w:w="114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B251CBA" w14:textId="2C74DB5A" w:rsidR="00CC586A" w:rsidRPr="008D21C4" w:rsidRDefault="00CC586A" w:rsidP="00CC586A">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272</w:t>
            </w:r>
          </w:p>
        </w:tc>
        <w:tc>
          <w:tcPr>
            <w:tcW w:w="402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09CBEE41" w14:textId="77777777" w:rsidR="00CC586A" w:rsidRPr="008D21C4" w:rsidRDefault="00CC586A" w:rsidP="00CC586A">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Expenditure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6F7FEFA1" w14:textId="03C3BFC7" w:rsidR="00CC586A" w:rsidRPr="008D21C4" w:rsidRDefault="00CC586A" w:rsidP="00CC586A">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48</w:t>
            </w:r>
            <w:r w:rsidR="00FC5F48">
              <w:rPr>
                <w:rFonts w:eastAsia="Times New Roman" w:cs="Times New Roman"/>
                <w:b/>
                <w:bCs/>
                <w:color w:val="000000"/>
                <w:kern w:val="0"/>
                <w:sz w:val="20"/>
                <w:szCs w:val="20"/>
                <w:lang w:eastAsia="en-GB"/>
                <w14:ligatures w14:val="none"/>
              </w:rPr>
              <w:t>6</w:t>
            </w:r>
          </w:p>
        </w:tc>
        <w:tc>
          <w:tcPr>
            <w:tcW w:w="126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A18E049" w14:textId="36267613" w:rsidR="00CC586A" w:rsidRPr="008D21C4" w:rsidRDefault="00CC586A" w:rsidP="00CC586A">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w:t>
            </w:r>
            <w:r w:rsidR="00262AB5">
              <w:rPr>
                <w:rFonts w:eastAsia="Times New Roman" w:cs="Times New Roman"/>
                <w:b/>
                <w:bCs/>
                <w:color w:val="000000"/>
                <w:kern w:val="0"/>
                <w:sz w:val="20"/>
                <w:szCs w:val="20"/>
                <w:lang w:eastAsia="en-GB"/>
                <w14:ligatures w14:val="none"/>
              </w:rPr>
              <w:t>9</w:t>
            </w:r>
            <w:r w:rsidR="00D67B51">
              <w:rPr>
                <w:rFonts w:eastAsia="Times New Roman" w:cs="Times New Roman"/>
                <w:b/>
                <w:bCs/>
                <w:color w:val="000000"/>
                <w:kern w:val="0"/>
                <w:sz w:val="20"/>
                <w:szCs w:val="20"/>
                <w:lang w:eastAsia="en-GB"/>
                <w14:ligatures w14:val="none"/>
              </w:rPr>
              <w:t>9</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7612078" w14:textId="7A0883B4" w:rsidR="00CC586A" w:rsidRPr="008D21C4" w:rsidRDefault="00ED3AA6" w:rsidP="00CC586A">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51</w:t>
            </w:r>
            <w:r w:rsidR="00CF242E">
              <w:rPr>
                <w:rFonts w:eastAsia="Times New Roman" w:cs="Times New Roman"/>
                <w:b/>
                <w:bCs/>
                <w:color w:val="000000"/>
                <w:kern w:val="0"/>
                <w:sz w:val="20"/>
                <w:szCs w:val="20"/>
                <w:lang w:eastAsia="en-GB"/>
                <w14:ligatures w14:val="none"/>
              </w:rPr>
              <w:t>1</w:t>
            </w:r>
          </w:p>
        </w:tc>
        <w:tc>
          <w:tcPr>
            <w:tcW w:w="106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74276E29" w14:textId="3E7503FF" w:rsidR="00CC586A" w:rsidRPr="008D21C4" w:rsidRDefault="003B55A2" w:rsidP="00CC586A">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52</w:t>
            </w:r>
            <w:r w:rsidR="00CF242E">
              <w:rPr>
                <w:rFonts w:eastAsia="Times New Roman" w:cs="Times New Roman"/>
                <w:b/>
                <w:bCs/>
                <w:color w:val="000000"/>
                <w:kern w:val="0"/>
                <w:sz w:val="20"/>
                <w:szCs w:val="20"/>
                <w:lang w:eastAsia="en-GB"/>
                <w14:ligatures w14:val="none"/>
              </w:rPr>
              <w:t>4</w:t>
            </w:r>
          </w:p>
        </w:tc>
      </w:tr>
      <w:tr w:rsidR="00CD6EE7" w:rsidRPr="008D21C4" w14:paraId="4A6CD4F1" w14:textId="77777777" w:rsidTr="7DC21327">
        <w:trPr>
          <w:trHeight w:val="270"/>
        </w:trPr>
        <w:tc>
          <w:tcPr>
            <w:tcW w:w="1140" w:type="dxa"/>
            <w:tcBorders>
              <w:top w:val="single" w:sz="4" w:space="0" w:color="auto"/>
              <w:left w:val="single" w:sz="12" w:space="0" w:color="auto"/>
              <w:bottom w:val="single" w:sz="4" w:space="0" w:color="auto"/>
              <w:right w:val="single" w:sz="4" w:space="0" w:color="auto"/>
            </w:tcBorders>
            <w:noWrap/>
            <w:vAlign w:val="bottom"/>
            <w:hideMark/>
          </w:tcPr>
          <w:p w14:paraId="2AA594B5" w14:textId="5DD42CD9"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2D46BAF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Charges</w:t>
            </w:r>
          </w:p>
        </w:tc>
        <w:tc>
          <w:tcPr>
            <w:tcW w:w="1026" w:type="dxa"/>
            <w:tcBorders>
              <w:top w:val="single" w:sz="4" w:space="0" w:color="auto"/>
              <w:left w:val="nil"/>
              <w:bottom w:val="single" w:sz="4" w:space="0" w:color="auto"/>
              <w:right w:val="single" w:sz="4" w:space="0" w:color="auto"/>
            </w:tcBorders>
            <w:noWrap/>
            <w:vAlign w:val="bottom"/>
            <w:hideMark/>
          </w:tcPr>
          <w:p w14:paraId="0D7FA66C" w14:textId="326D0F7F"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single" w:sz="4" w:space="0" w:color="auto"/>
              <w:left w:val="single" w:sz="12" w:space="0" w:color="auto"/>
              <w:bottom w:val="single" w:sz="4" w:space="0" w:color="auto"/>
              <w:right w:val="single" w:sz="4" w:space="0" w:color="auto"/>
            </w:tcBorders>
            <w:noWrap/>
            <w:vAlign w:val="bottom"/>
            <w:hideMark/>
          </w:tcPr>
          <w:p w14:paraId="7520270B" w14:textId="0302C307"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D86B878" w14:textId="3079D1B5"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single" w:sz="4" w:space="0" w:color="auto"/>
              <w:left w:val="single" w:sz="12" w:space="0" w:color="auto"/>
              <w:bottom w:val="single" w:sz="4" w:space="0" w:color="auto"/>
              <w:right w:val="single" w:sz="12" w:space="0" w:color="auto"/>
            </w:tcBorders>
            <w:noWrap/>
            <w:vAlign w:val="bottom"/>
            <w:hideMark/>
          </w:tcPr>
          <w:p w14:paraId="645FCDF3" w14:textId="3D1ABE59"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1DB0C06B"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4C321072" w14:textId="2FC9614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(1,500)</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37ADB8A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Grant</w:t>
            </w:r>
          </w:p>
        </w:tc>
        <w:tc>
          <w:tcPr>
            <w:tcW w:w="1026" w:type="dxa"/>
            <w:tcBorders>
              <w:top w:val="nil"/>
              <w:left w:val="nil"/>
              <w:bottom w:val="single" w:sz="4" w:space="0" w:color="auto"/>
              <w:right w:val="single" w:sz="4" w:space="0" w:color="auto"/>
            </w:tcBorders>
            <w:noWrap/>
            <w:vAlign w:val="bottom"/>
            <w:hideMark/>
          </w:tcPr>
          <w:p w14:paraId="1E91FDAB" w14:textId="47CEDD23"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61BD4D87" w14:textId="43861806"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6542E07" w14:textId="3666861F"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5676914B" w14:textId="075599BE" w:rsidR="00CD6EE7" w:rsidRPr="008D21C4" w:rsidRDefault="00CD6EE7" w:rsidP="00D944F9">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08F2F3FB"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20D27801" w14:textId="337D9C86"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45527B81"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Recharges</w:t>
            </w:r>
          </w:p>
        </w:tc>
        <w:tc>
          <w:tcPr>
            <w:tcW w:w="1026" w:type="dxa"/>
            <w:tcBorders>
              <w:top w:val="nil"/>
              <w:left w:val="nil"/>
              <w:bottom w:val="single" w:sz="4" w:space="0" w:color="auto"/>
              <w:right w:val="single" w:sz="4" w:space="0" w:color="auto"/>
            </w:tcBorders>
            <w:noWrap/>
            <w:vAlign w:val="bottom"/>
            <w:hideMark/>
          </w:tcPr>
          <w:p w14:paraId="0858E619" w14:textId="5F4F2569"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55800594" w14:textId="7E75A6BC"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B62D6F5" w14:textId="1FC91987"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09DD46D4" w14:textId="1B712F7A"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45A46545"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6B86AA2A" w14:textId="7AE3E7DC"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283B0020"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CSR</w:t>
            </w:r>
          </w:p>
        </w:tc>
        <w:tc>
          <w:tcPr>
            <w:tcW w:w="1026" w:type="dxa"/>
            <w:tcBorders>
              <w:top w:val="nil"/>
              <w:left w:val="nil"/>
              <w:bottom w:val="single" w:sz="4" w:space="0" w:color="auto"/>
              <w:right w:val="single" w:sz="4" w:space="0" w:color="auto"/>
            </w:tcBorders>
            <w:noWrap/>
            <w:vAlign w:val="bottom"/>
          </w:tcPr>
          <w:p w14:paraId="7A8090A1" w14:textId="6E077BB9"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tcPr>
          <w:p w14:paraId="31397BDB" w14:textId="30224A11"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tcPr>
          <w:p w14:paraId="055154B5" w14:textId="2E8035BC"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tcPr>
          <w:p w14:paraId="1C2B568F" w14:textId="079A32AF"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54255459"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4ECDE02E" w14:textId="61FAAFBC"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4B1E35ED"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Summary</w:t>
            </w:r>
          </w:p>
        </w:tc>
        <w:tc>
          <w:tcPr>
            <w:tcW w:w="1026" w:type="dxa"/>
            <w:tcBorders>
              <w:top w:val="nil"/>
              <w:left w:val="nil"/>
              <w:bottom w:val="single" w:sz="4" w:space="0" w:color="auto"/>
              <w:right w:val="single" w:sz="4" w:space="0" w:color="auto"/>
            </w:tcBorders>
            <w:noWrap/>
            <w:vAlign w:val="bottom"/>
            <w:hideMark/>
          </w:tcPr>
          <w:p w14:paraId="6107B08B" w14:textId="5521C20C"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7F0CB077" w14:textId="76E64C1A"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4DABB9F" w14:textId="77DBA0F9"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765C75EF" w14:textId="3503BF50"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74DF81E7"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3721C45B" w14:textId="1292C955"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2576B1B9"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Bank Interest</w:t>
            </w:r>
          </w:p>
        </w:tc>
        <w:tc>
          <w:tcPr>
            <w:tcW w:w="1026" w:type="dxa"/>
            <w:tcBorders>
              <w:top w:val="nil"/>
              <w:left w:val="nil"/>
              <w:bottom w:val="single" w:sz="4" w:space="0" w:color="auto"/>
              <w:right w:val="single" w:sz="4" w:space="0" w:color="auto"/>
            </w:tcBorders>
            <w:noWrap/>
            <w:vAlign w:val="bottom"/>
            <w:hideMark/>
          </w:tcPr>
          <w:p w14:paraId="558CD7CE" w14:textId="3BF8830F"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173FCC43" w14:textId="24E7AC88"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58BD254" w14:textId="174DFB4F"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60108587" w14:textId="75E5F5A3"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2C9AE830"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3D877068" w14:textId="669EEAAE"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0FF0186E" w14:textId="6E64416E"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Interest From Investments</w:t>
            </w:r>
          </w:p>
        </w:tc>
        <w:tc>
          <w:tcPr>
            <w:tcW w:w="1026" w:type="dxa"/>
            <w:tcBorders>
              <w:top w:val="nil"/>
              <w:left w:val="nil"/>
              <w:bottom w:val="single" w:sz="4" w:space="0" w:color="auto"/>
              <w:right w:val="single" w:sz="4" w:space="0" w:color="auto"/>
            </w:tcBorders>
            <w:noWrap/>
            <w:vAlign w:val="bottom"/>
            <w:hideMark/>
          </w:tcPr>
          <w:p w14:paraId="08E5F4DA" w14:textId="40FDFD27"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78EF0E35" w14:textId="4B837463"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600FE3E" w14:textId="0883C1B3"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6F265515" w14:textId="3607D46A"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6B61B2A3" w14:textId="77777777" w:rsidTr="7DC21327">
        <w:trPr>
          <w:trHeight w:val="270"/>
        </w:trPr>
        <w:tc>
          <w:tcPr>
            <w:tcW w:w="1140" w:type="dxa"/>
            <w:tcBorders>
              <w:top w:val="nil"/>
              <w:left w:val="single" w:sz="12" w:space="0" w:color="auto"/>
              <w:bottom w:val="single" w:sz="4" w:space="0" w:color="auto"/>
              <w:right w:val="single" w:sz="4" w:space="0" w:color="auto"/>
            </w:tcBorders>
            <w:noWrap/>
            <w:vAlign w:val="bottom"/>
            <w:hideMark/>
          </w:tcPr>
          <w:p w14:paraId="4DCA4018" w14:textId="7309FA74"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6309BD92"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Rents</w:t>
            </w:r>
          </w:p>
        </w:tc>
        <w:tc>
          <w:tcPr>
            <w:tcW w:w="1026" w:type="dxa"/>
            <w:tcBorders>
              <w:top w:val="nil"/>
              <w:left w:val="nil"/>
              <w:bottom w:val="single" w:sz="4" w:space="0" w:color="auto"/>
              <w:right w:val="single" w:sz="4" w:space="0" w:color="auto"/>
            </w:tcBorders>
            <w:noWrap/>
            <w:vAlign w:val="bottom"/>
            <w:hideMark/>
          </w:tcPr>
          <w:p w14:paraId="07BA769D" w14:textId="261E4764"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17652015" w14:textId="0C355AEC"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D8C7E34" w14:textId="286BCB8B"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31D249B0" w14:textId="258D46A3"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1568CF44" w14:textId="77777777" w:rsidTr="7DC21327">
        <w:trPr>
          <w:trHeight w:val="345"/>
        </w:trPr>
        <w:tc>
          <w:tcPr>
            <w:tcW w:w="114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E0EFEEB" w14:textId="60DA26B4"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(1,500)</w:t>
            </w:r>
          </w:p>
        </w:tc>
        <w:tc>
          <w:tcPr>
            <w:tcW w:w="402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40563FD5"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Income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47DBACA3" w14:textId="42AFD954" w:rsidR="00245C0C" w:rsidRPr="008D21C4" w:rsidRDefault="00245C0C"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26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17AD662" w14:textId="4FA06CD8" w:rsidR="00245C0C" w:rsidRPr="008D21C4" w:rsidRDefault="00245C0C"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07F6064" w14:textId="38F15319" w:rsidR="00245C0C" w:rsidRPr="008D21C4" w:rsidRDefault="00245C0C"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06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61A1C0A8" w14:textId="3115EE9A" w:rsidR="00245C0C" w:rsidRPr="008D21C4" w:rsidRDefault="00245C0C"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r>
      <w:tr w:rsidR="00245C0C" w:rsidRPr="008D21C4" w14:paraId="6676878C" w14:textId="77777777" w:rsidTr="7DC21327">
        <w:trPr>
          <w:trHeight w:val="280"/>
        </w:trPr>
        <w:tc>
          <w:tcPr>
            <w:tcW w:w="1140" w:type="dxa"/>
            <w:tcBorders>
              <w:top w:val="nil"/>
              <w:left w:val="single" w:sz="12" w:space="0" w:color="auto"/>
              <w:bottom w:val="single" w:sz="12" w:space="0" w:color="auto"/>
              <w:right w:val="single" w:sz="4" w:space="0" w:color="auto"/>
            </w:tcBorders>
            <w:shd w:val="clear" w:color="auto" w:fill="E8E8E8"/>
            <w:noWrap/>
            <w:vAlign w:val="bottom"/>
            <w:hideMark/>
          </w:tcPr>
          <w:p w14:paraId="70E41C32" w14:textId="2C0BBD41"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(1,228)</w:t>
            </w:r>
          </w:p>
        </w:tc>
        <w:tc>
          <w:tcPr>
            <w:tcW w:w="4021" w:type="dxa"/>
            <w:tcBorders>
              <w:top w:val="nil"/>
              <w:left w:val="single" w:sz="12" w:space="0" w:color="auto"/>
              <w:bottom w:val="single" w:sz="12" w:space="0" w:color="auto"/>
              <w:right w:val="single" w:sz="12" w:space="0" w:color="auto"/>
            </w:tcBorders>
            <w:shd w:val="clear" w:color="auto" w:fill="E8E8E8"/>
            <w:noWrap/>
            <w:vAlign w:val="bottom"/>
            <w:hideMark/>
          </w:tcPr>
          <w:p w14:paraId="7A1AA8B7"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(Income)</w:t>
            </w:r>
          </w:p>
        </w:tc>
        <w:tc>
          <w:tcPr>
            <w:tcW w:w="1026" w:type="dxa"/>
            <w:tcBorders>
              <w:top w:val="nil"/>
              <w:left w:val="nil"/>
              <w:bottom w:val="single" w:sz="12" w:space="0" w:color="auto"/>
              <w:right w:val="single" w:sz="4" w:space="0" w:color="auto"/>
            </w:tcBorders>
            <w:shd w:val="clear" w:color="auto" w:fill="E8E8E8"/>
            <w:noWrap/>
            <w:vAlign w:val="bottom"/>
            <w:hideMark/>
          </w:tcPr>
          <w:p w14:paraId="6BC76CBD" w14:textId="45090193" w:rsidR="00245C0C" w:rsidRPr="008D21C4" w:rsidRDefault="00CF242E"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486</w:t>
            </w:r>
          </w:p>
        </w:tc>
        <w:tc>
          <w:tcPr>
            <w:tcW w:w="1260" w:type="dxa"/>
            <w:tcBorders>
              <w:top w:val="nil"/>
              <w:left w:val="single" w:sz="12" w:space="0" w:color="auto"/>
              <w:bottom w:val="single" w:sz="12" w:space="0" w:color="auto"/>
              <w:right w:val="single" w:sz="4" w:space="0" w:color="auto"/>
            </w:tcBorders>
            <w:shd w:val="clear" w:color="auto" w:fill="E8E8E8"/>
            <w:noWrap/>
            <w:vAlign w:val="bottom"/>
            <w:hideMark/>
          </w:tcPr>
          <w:p w14:paraId="5CA37D07" w14:textId="3BBA706C" w:rsidR="00245C0C" w:rsidRPr="008D21C4" w:rsidRDefault="00CF242E"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499</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070064D1" w14:textId="5CE46C81" w:rsidR="00245C0C" w:rsidRPr="008D21C4" w:rsidRDefault="00CF242E"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511</w:t>
            </w:r>
          </w:p>
        </w:tc>
        <w:tc>
          <w:tcPr>
            <w:tcW w:w="1067" w:type="dxa"/>
            <w:tcBorders>
              <w:top w:val="nil"/>
              <w:left w:val="single" w:sz="12" w:space="0" w:color="auto"/>
              <w:bottom w:val="single" w:sz="12" w:space="0" w:color="auto"/>
              <w:right w:val="single" w:sz="12" w:space="0" w:color="auto"/>
            </w:tcBorders>
            <w:shd w:val="clear" w:color="auto" w:fill="E8E8E8"/>
            <w:noWrap/>
            <w:vAlign w:val="bottom"/>
            <w:hideMark/>
          </w:tcPr>
          <w:p w14:paraId="35284F4A" w14:textId="67FA1C6F" w:rsidR="00245C0C" w:rsidRPr="008D21C4" w:rsidRDefault="00CF242E"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524</w:t>
            </w:r>
          </w:p>
        </w:tc>
      </w:tr>
      <w:tr w:rsidR="00245C0C" w:rsidRPr="008D21C4" w14:paraId="234F6EBD" w14:textId="77777777" w:rsidTr="7DC21327">
        <w:trPr>
          <w:trHeight w:val="270"/>
        </w:trPr>
        <w:tc>
          <w:tcPr>
            <w:tcW w:w="1140" w:type="dxa"/>
            <w:tcBorders>
              <w:top w:val="single" w:sz="4" w:space="0" w:color="auto"/>
              <w:left w:val="single" w:sz="12" w:space="0" w:color="auto"/>
              <w:bottom w:val="single" w:sz="4" w:space="0" w:color="auto"/>
              <w:right w:val="single" w:sz="4" w:space="0" w:color="auto"/>
            </w:tcBorders>
            <w:noWrap/>
            <w:vAlign w:val="bottom"/>
            <w:hideMark/>
          </w:tcPr>
          <w:p w14:paraId="6C3AF281" w14:textId="1864E76D"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2C76273D"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from Reserves</w:t>
            </w:r>
          </w:p>
        </w:tc>
        <w:tc>
          <w:tcPr>
            <w:tcW w:w="1026" w:type="dxa"/>
            <w:tcBorders>
              <w:top w:val="single" w:sz="4" w:space="0" w:color="auto"/>
              <w:left w:val="nil"/>
              <w:bottom w:val="single" w:sz="4" w:space="0" w:color="auto"/>
              <w:right w:val="single" w:sz="4" w:space="0" w:color="auto"/>
            </w:tcBorders>
            <w:noWrap/>
            <w:vAlign w:val="bottom"/>
            <w:hideMark/>
          </w:tcPr>
          <w:p w14:paraId="4BCC2A0C" w14:textId="4F71F6EE"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single" w:sz="4" w:space="0" w:color="auto"/>
              <w:left w:val="single" w:sz="12" w:space="0" w:color="auto"/>
              <w:bottom w:val="single" w:sz="4" w:space="0" w:color="auto"/>
              <w:right w:val="single" w:sz="4" w:space="0" w:color="auto"/>
            </w:tcBorders>
            <w:noWrap/>
            <w:vAlign w:val="bottom"/>
            <w:hideMark/>
          </w:tcPr>
          <w:p w14:paraId="7275F4DC" w14:textId="46CB5B3D"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23F8858" w14:textId="4D63DD8F"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single" w:sz="4" w:space="0" w:color="auto"/>
              <w:left w:val="single" w:sz="12" w:space="0" w:color="auto"/>
              <w:bottom w:val="single" w:sz="4" w:space="0" w:color="auto"/>
              <w:right w:val="single" w:sz="12" w:space="0" w:color="auto"/>
            </w:tcBorders>
            <w:noWrap/>
            <w:vAlign w:val="bottom"/>
            <w:hideMark/>
          </w:tcPr>
          <w:p w14:paraId="4A5E6B83" w14:textId="57BDB78F"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0A3EE8CC" w14:textId="77777777" w:rsidTr="7DC21327">
        <w:trPr>
          <w:trHeight w:val="270"/>
        </w:trPr>
        <w:tc>
          <w:tcPr>
            <w:tcW w:w="1140" w:type="dxa"/>
            <w:tcBorders>
              <w:top w:val="nil"/>
              <w:left w:val="single" w:sz="12" w:space="0" w:color="auto"/>
              <w:bottom w:val="single" w:sz="4" w:space="0" w:color="auto"/>
              <w:right w:val="single" w:sz="4" w:space="0" w:color="auto"/>
            </w:tcBorders>
            <w:noWrap/>
            <w:vAlign w:val="bottom"/>
            <w:hideMark/>
          </w:tcPr>
          <w:p w14:paraId="3957FC96" w14:textId="509B92EC"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7F81DB9B" w14:textId="77777777"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To Reserves</w:t>
            </w:r>
          </w:p>
        </w:tc>
        <w:tc>
          <w:tcPr>
            <w:tcW w:w="1026" w:type="dxa"/>
            <w:tcBorders>
              <w:top w:val="nil"/>
              <w:left w:val="nil"/>
              <w:bottom w:val="single" w:sz="4" w:space="0" w:color="auto"/>
              <w:right w:val="single" w:sz="4" w:space="0" w:color="auto"/>
            </w:tcBorders>
            <w:noWrap/>
            <w:vAlign w:val="bottom"/>
            <w:hideMark/>
          </w:tcPr>
          <w:p w14:paraId="33D2D6B3" w14:textId="33B9F73E"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260" w:type="dxa"/>
            <w:tcBorders>
              <w:top w:val="nil"/>
              <w:left w:val="single" w:sz="12" w:space="0" w:color="auto"/>
              <w:bottom w:val="single" w:sz="4" w:space="0" w:color="auto"/>
              <w:right w:val="single" w:sz="4" w:space="0" w:color="auto"/>
            </w:tcBorders>
            <w:noWrap/>
            <w:vAlign w:val="bottom"/>
            <w:hideMark/>
          </w:tcPr>
          <w:p w14:paraId="3A836193" w14:textId="435FCEFC"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D43285B" w14:textId="100FE793"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67" w:type="dxa"/>
            <w:tcBorders>
              <w:top w:val="nil"/>
              <w:left w:val="single" w:sz="12" w:space="0" w:color="auto"/>
              <w:bottom w:val="single" w:sz="4" w:space="0" w:color="auto"/>
              <w:right w:val="single" w:sz="12" w:space="0" w:color="auto"/>
            </w:tcBorders>
            <w:noWrap/>
            <w:vAlign w:val="bottom"/>
            <w:hideMark/>
          </w:tcPr>
          <w:p w14:paraId="747010BC" w14:textId="52E1E307"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245C0C" w:rsidRPr="008D21C4" w14:paraId="357E7739" w14:textId="77777777" w:rsidTr="7DC21327">
        <w:trPr>
          <w:trHeight w:val="280"/>
        </w:trPr>
        <w:tc>
          <w:tcPr>
            <w:tcW w:w="114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A758E30" w14:textId="7B604DB5" w:rsidR="00245C0C" w:rsidRPr="008D21C4" w:rsidRDefault="00245C0C" w:rsidP="00245C0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(1,228)</w:t>
            </w:r>
          </w:p>
        </w:tc>
        <w:tc>
          <w:tcPr>
            <w:tcW w:w="402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7ADC8420" w14:textId="1361E568" w:rsidR="00245C0C" w:rsidRPr="008D21C4" w:rsidRDefault="00245C0C" w:rsidP="00245C0C">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after Contribution to/(From) Reserves</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78C5C4C5" w14:textId="7F0DBBC2" w:rsidR="00245C0C" w:rsidRPr="008D21C4" w:rsidRDefault="00CF242E"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486</w:t>
            </w:r>
          </w:p>
        </w:tc>
        <w:tc>
          <w:tcPr>
            <w:tcW w:w="126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61AB13A" w14:textId="23C6CCF4" w:rsidR="00245C0C" w:rsidRPr="008D21C4" w:rsidRDefault="00CF242E"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499</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90DDB0E" w14:textId="609818D4" w:rsidR="00245C0C" w:rsidRPr="008D21C4" w:rsidRDefault="00CF242E"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511</w:t>
            </w:r>
          </w:p>
        </w:tc>
        <w:tc>
          <w:tcPr>
            <w:tcW w:w="1067"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039991E4" w14:textId="26F09395" w:rsidR="00245C0C" w:rsidRPr="008D21C4" w:rsidRDefault="00CF242E" w:rsidP="00245C0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524</w:t>
            </w:r>
          </w:p>
        </w:tc>
      </w:tr>
    </w:tbl>
    <w:p w14:paraId="2ED20E9E" w14:textId="77777777" w:rsidR="001716C7" w:rsidRDefault="001716C7">
      <w:r>
        <w:br w:type="page"/>
      </w:r>
    </w:p>
    <w:tbl>
      <w:tblPr>
        <w:tblW w:w="9641" w:type="dxa"/>
        <w:tblLook w:val="04A0" w:firstRow="1" w:lastRow="0" w:firstColumn="1" w:lastColumn="0" w:noHBand="0" w:noVBand="1"/>
      </w:tblPr>
      <w:tblGrid>
        <w:gridCol w:w="1110"/>
        <w:gridCol w:w="4051"/>
        <w:gridCol w:w="1026"/>
        <w:gridCol w:w="1172"/>
        <w:gridCol w:w="1172"/>
        <w:gridCol w:w="1110"/>
      </w:tblGrid>
      <w:tr w:rsidR="00CD6EE7" w:rsidRPr="008D21C4" w14:paraId="5AE5A569" w14:textId="77777777" w:rsidTr="392B2B60">
        <w:trPr>
          <w:trHeight w:val="280"/>
        </w:trPr>
        <w:tc>
          <w:tcPr>
            <w:tcW w:w="1110" w:type="dxa"/>
            <w:tcBorders>
              <w:top w:val="nil"/>
              <w:left w:val="nil"/>
              <w:bottom w:val="nil"/>
              <w:right w:val="nil"/>
            </w:tcBorders>
            <w:noWrap/>
            <w:vAlign w:val="bottom"/>
            <w:hideMark/>
          </w:tcPr>
          <w:p w14:paraId="4FB0A3AB" w14:textId="02BD2F73" w:rsidR="00CD6EE7" w:rsidRPr="008D21C4" w:rsidRDefault="00CD6EE7" w:rsidP="00CD6EE7">
            <w:pPr>
              <w:rPr>
                <w:rFonts w:eastAsia="Times New Roman" w:cs="Times New Roman"/>
                <w:b/>
                <w:bCs/>
                <w:color w:val="000000"/>
                <w:kern w:val="0"/>
                <w:sz w:val="20"/>
                <w:szCs w:val="20"/>
                <w:lang w:eastAsia="en-GB"/>
                <w14:ligatures w14:val="none"/>
              </w:rPr>
            </w:pPr>
          </w:p>
        </w:tc>
        <w:tc>
          <w:tcPr>
            <w:tcW w:w="4051" w:type="dxa"/>
            <w:tcBorders>
              <w:top w:val="nil"/>
              <w:left w:val="nil"/>
              <w:bottom w:val="nil"/>
              <w:right w:val="nil"/>
            </w:tcBorders>
            <w:noWrap/>
            <w:vAlign w:val="bottom"/>
            <w:hideMark/>
          </w:tcPr>
          <w:p w14:paraId="4683A86B"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026" w:type="dxa"/>
            <w:tcBorders>
              <w:top w:val="nil"/>
              <w:left w:val="nil"/>
              <w:bottom w:val="nil"/>
              <w:right w:val="nil"/>
            </w:tcBorders>
            <w:noWrap/>
            <w:vAlign w:val="bottom"/>
            <w:hideMark/>
          </w:tcPr>
          <w:p w14:paraId="43E0EDC8"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270EF47D"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03C6294B"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10" w:type="dxa"/>
            <w:tcBorders>
              <w:top w:val="nil"/>
              <w:left w:val="nil"/>
              <w:bottom w:val="nil"/>
              <w:right w:val="nil"/>
            </w:tcBorders>
            <w:noWrap/>
            <w:vAlign w:val="bottom"/>
            <w:hideMark/>
          </w:tcPr>
          <w:p w14:paraId="642AD977"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r>
      <w:tr w:rsidR="001716C7" w:rsidRPr="008D21C4" w14:paraId="07C8078A" w14:textId="77777777" w:rsidTr="392B2B60">
        <w:trPr>
          <w:trHeight w:val="270"/>
        </w:trPr>
        <w:tc>
          <w:tcPr>
            <w:tcW w:w="1110" w:type="dxa"/>
            <w:tcBorders>
              <w:top w:val="single" w:sz="12" w:space="0" w:color="auto"/>
              <w:left w:val="single" w:sz="12" w:space="0" w:color="auto"/>
              <w:bottom w:val="nil"/>
              <w:right w:val="single" w:sz="4" w:space="0" w:color="auto"/>
            </w:tcBorders>
            <w:shd w:val="clear" w:color="auto" w:fill="E8E8E8"/>
            <w:hideMark/>
          </w:tcPr>
          <w:p w14:paraId="37079EA9" w14:textId="3B5243F9"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025/26</w:t>
            </w:r>
          </w:p>
        </w:tc>
        <w:tc>
          <w:tcPr>
            <w:tcW w:w="4051" w:type="dxa"/>
            <w:tcBorders>
              <w:top w:val="single" w:sz="12" w:space="0" w:color="auto"/>
              <w:left w:val="single" w:sz="12" w:space="0" w:color="auto"/>
              <w:bottom w:val="nil"/>
              <w:right w:val="single" w:sz="12" w:space="0" w:color="auto"/>
            </w:tcBorders>
            <w:shd w:val="clear" w:color="auto" w:fill="E8E8E8"/>
            <w:noWrap/>
            <w:vAlign w:val="bottom"/>
            <w:hideMark/>
          </w:tcPr>
          <w:p w14:paraId="3A5E9A5A"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Chief Executive</w:t>
            </w:r>
          </w:p>
        </w:tc>
        <w:tc>
          <w:tcPr>
            <w:tcW w:w="1026" w:type="dxa"/>
            <w:tcBorders>
              <w:top w:val="single" w:sz="12" w:space="0" w:color="auto"/>
              <w:left w:val="nil"/>
              <w:bottom w:val="nil"/>
              <w:right w:val="single" w:sz="12" w:space="0" w:color="auto"/>
            </w:tcBorders>
            <w:shd w:val="clear" w:color="auto" w:fill="E8E8E8"/>
            <w:hideMark/>
          </w:tcPr>
          <w:p w14:paraId="5A544A2E"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Budget 2026/27</w:t>
            </w:r>
          </w:p>
        </w:tc>
        <w:tc>
          <w:tcPr>
            <w:tcW w:w="1172" w:type="dxa"/>
            <w:tcBorders>
              <w:top w:val="single" w:sz="12" w:space="0" w:color="auto"/>
              <w:left w:val="nil"/>
              <w:bottom w:val="nil"/>
              <w:right w:val="single" w:sz="12" w:space="0" w:color="auto"/>
            </w:tcBorders>
            <w:shd w:val="clear" w:color="auto" w:fill="E8E8E8"/>
            <w:hideMark/>
          </w:tcPr>
          <w:p w14:paraId="6EAEBE98"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Budget 2027/28</w:t>
            </w:r>
          </w:p>
        </w:tc>
        <w:tc>
          <w:tcPr>
            <w:tcW w:w="1172" w:type="dxa"/>
            <w:tcBorders>
              <w:top w:val="single" w:sz="12" w:space="0" w:color="auto"/>
              <w:left w:val="nil"/>
              <w:bottom w:val="nil"/>
              <w:right w:val="single" w:sz="12" w:space="0" w:color="auto"/>
            </w:tcBorders>
            <w:shd w:val="clear" w:color="auto" w:fill="E8E8E8"/>
            <w:hideMark/>
          </w:tcPr>
          <w:p w14:paraId="40D2BF09"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Budget 2028/29</w:t>
            </w:r>
          </w:p>
        </w:tc>
        <w:tc>
          <w:tcPr>
            <w:tcW w:w="1110" w:type="dxa"/>
            <w:tcBorders>
              <w:top w:val="single" w:sz="12" w:space="0" w:color="auto"/>
              <w:left w:val="nil"/>
              <w:bottom w:val="nil"/>
              <w:right w:val="single" w:sz="12" w:space="0" w:color="auto"/>
            </w:tcBorders>
            <w:shd w:val="clear" w:color="auto" w:fill="E8E8E8"/>
            <w:hideMark/>
          </w:tcPr>
          <w:p w14:paraId="6FF792CF"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Budget 2029/30</w:t>
            </w:r>
          </w:p>
        </w:tc>
      </w:tr>
      <w:tr w:rsidR="001716C7" w:rsidRPr="008D21C4" w14:paraId="1CA21D85" w14:textId="77777777" w:rsidTr="392B2B60">
        <w:trPr>
          <w:trHeight w:val="270"/>
        </w:trPr>
        <w:tc>
          <w:tcPr>
            <w:tcW w:w="1110" w:type="dxa"/>
            <w:tcBorders>
              <w:top w:val="nil"/>
              <w:left w:val="single" w:sz="12" w:space="0" w:color="auto"/>
              <w:bottom w:val="single" w:sz="12" w:space="0" w:color="auto"/>
              <w:right w:val="single" w:sz="4" w:space="0" w:color="auto"/>
            </w:tcBorders>
            <w:shd w:val="clear" w:color="auto" w:fill="E8E8E8"/>
            <w:noWrap/>
            <w:vAlign w:val="bottom"/>
            <w:hideMark/>
          </w:tcPr>
          <w:p w14:paraId="1FD5E1D2"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4051" w:type="dxa"/>
            <w:tcBorders>
              <w:top w:val="nil"/>
              <w:left w:val="single" w:sz="12" w:space="0" w:color="auto"/>
              <w:bottom w:val="single" w:sz="12" w:space="0" w:color="auto"/>
              <w:right w:val="single" w:sz="12" w:space="0" w:color="auto"/>
            </w:tcBorders>
            <w:shd w:val="clear" w:color="auto" w:fill="E8E8E8"/>
            <w:noWrap/>
            <w:vAlign w:val="bottom"/>
            <w:hideMark/>
          </w:tcPr>
          <w:p w14:paraId="6B4500F7"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Type of Expenditure / Income </w:t>
            </w:r>
          </w:p>
        </w:tc>
        <w:tc>
          <w:tcPr>
            <w:tcW w:w="1026" w:type="dxa"/>
            <w:tcBorders>
              <w:top w:val="nil"/>
              <w:left w:val="nil"/>
              <w:bottom w:val="single" w:sz="12" w:space="0" w:color="auto"/>
              <w:right w:val="single" w:sz="12" w:space="0" w:color="auto"/>
            </w:tcBorders>
            <w:shd w:val="clear" w:color="auto" w:fill="E8E8E8"/>
            <w:noWrap/>
            <w:vAlign w:val="bottom"/>
            <w:hideMark/>
          </w:tcPr>
          <w:p w14:paraId="5142EF1A"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0FDB9D87"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7736F8CA"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10" w:type="dxa"/>
            <w:tcBorders>
              <w:top w:val="nil"/>
              <w:left w:val="nil"/>
              <w:bottom w:val="single" w:sz="12" w:space="0" w:color="auto"/>
              <w:right w:val="single" w:sz="12" w:space="0" w:color="auto"/>
            </w:tcBorders>
            <w:shd w:val="clear" w:color="auto" w:fill="E8E8E8"/>
            <w:noWrap/>
            <w:vAlign w:val="bottom"/>
            <w:hideMark/>
          </w:tcPr>
          <w:p w14:paraId="12F358CB"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r>
      <w:tr w:rsidR="00B012D1" w:rsidRPr="008D21C4" w14:paraId="0551D3AB" w14:textId="77777777" w:rsidTr="392B2B60">
        <w:trPr>
          <w:trHeight w:val="270"/>
        </w:trPr>
        <w:tc>
          <w:tcPr>
            <w:tcW w:w="1110" w:type="dxa"/>
            <w:tcBorders>
              <w:top w:val="single" w:sz="4" w:space="0" w:color="auto"/>
              <w:left w:val="single" w:sz="12" w:space="0" w:color="auto"/>
              <w:bottom w:val="single" w:sz="4" w:space="0" w:color="auto"/>
              <w:right w:val="single" w:sz="4" w:space="0" w:color="auto"/>
            </w:tcBorders>
            <w:noWrap/>
            <w:vAlign w:val="bottom"/>
            <w:hideMark/>
          </w:tcPr>
          <w:p w14:paraId="12532C85" w14:textId="76631B7D"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1,439</w:t>
            </w:r>
          </w:p>
        </w:tc>
        <w:tc>
          <w:tcPr>
            <w:tcW w:w="405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1BDF9C72"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Employees</w:t>
            </w:r>
          </w:p>
        </w:tc>
        <w:tc>
          <w:tcPr>
            <w:tcW w:w="1026" w:type="dxa"/>
            <w:tcBorders>
              <w:top w:val="single" w:sz="4" w:space="0" w:color="auto"/>
              <w:left w:val="nil"/>
              <w:bottom w:val="single" w:sz="4" w:space="0" w:color="auto"/>
              <w:right w:val="single" w:sz="4" w:space="0" w:color="auto"/>
            </w:tcBorders>
            <w:noWrap/>
            <w:vAlign w:val="bottom"/>
            <w:hideMark/>
          </w:tcPr>
          <w:p w14:paraId="6C8188BE" w14:textId="4EF40DB1"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1,350</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4067DE3B" w14:textId="472E2A9E"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1,386</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BC544FD" w14:textId="5AFBC1AC"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1,422</w:t>
            </w:r>
          </w:p>
        </w:tc>
        <w:tc>
          <w:tcPr>
            <w:tcW w:w="1110" w:type="dxa"/>
            <w:tcBorders>
              <w:top w:val="single" w:sz="4" w:space="0" w:color="auto"/>
              <w:left w:val="single" w:sz="12" w:space="0" w:color="auto"/>
              <w:bottom w:val="single" w:sz="4" w:space="0" w:color="auto"/>
              <w:right w:val="single" w:sz="12" w:space="0" w:color="auto"/>
            </w:tcBorders>
            <w:noWrap/>
            <w:vAlign w:val="bottom"/>
            <w:hideMark/>
          </w:tcPr>
          <w:p w14:paraId="09F489A9" w14:textId="59303F8E"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1,460</w:t>
            </w:r>
          </w:p>
        </w:tc>
      </w:tr>
      <w:tr w:rsidR="00B012D1" w:rsidRPr="008D21C4" w14:paraId="2C6DF7C7"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2F31EE3C" w14:textId="5559B6BB"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298D4698"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Premises</w:t>
            </w:r>
          </w:p>
        </w:tc>
        <w:tc>
          <w:tcPr>
            <w:tcW w:w="1026" w:type="dxa"/>
            <w:tcBorders>
              <w:top w:val="nil"/>
              <w:left w:val="nil"/>
              <w:bottom w:val="single" w:sz="4" w:space="0" w:color="auto"/>
              <w:right w:val="single" w:sz="4" w:space="0" w:color="auto"/>
            </w:tcBorders>
            <w:noWrap/>
            <w:vAlign w:val="bottom"/>
            <w:hideMark/>
          </w:tcPr>
          <w:p w14:paraId="2BDA040B" w14:textId="38EC6BE6"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65D9F721" w14:textId="633F7BED"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75EAA4B9" w14:textId="6549E0D6"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45BE3116" w14:textId="27B84DF6"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4E6F68CE"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11C75E85" w14:textId="2466E119"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2881C3E6"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Transport</w:t>
            </w:r>
          </w:p>
        </w:tc>
        <w:tc>
          <w:tcPr>
            <w:tcW w:w="1026" w:type="dxa"/>
            <w:tcBorders>
              <w:top w:val="nil"/>
              <w:left w:val="nil"/>
              <w:bottom w:val="single" w:sz="4" w:space="0" w:color="auto"/>
              <w:right w:val="single" w:sz="4" w:space="0" w:color="auto"/>
            </w:tcBorders>
            <w:noWrap/>
            <w:vAlign w:val="bottom"/>
            <w:hideMark/>
          </w:tcPr>
          <w:p w14:paraId="15450F25" w14:textId="6EFA6D3C"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5</w:t>
            </w:r>
          </w:p>
        </w:tc>
        <w:tc>
          <w:tcPr>
            <w:tcW w:w="1172" w:type="dxa"/>
            <w:tcBorders>
              <w:top w:val="nil"/>
              <w:left w:val="single" w:sz="12" w:space="0" w:color="auto"/>
              <w:bottom w:val="single" w:sz="4" w:space="0" w:color="auto"/>
              <w:right w:val="single" w:sz="4" w:space="0" w:color="auto"/>
            </w:tcBorders>
            <w:noWrap/>
            <w:vAlign w:val="bottom"/>
            <w:hideMark/>
          </w:tcPr>
          <w:p w14:paraId="1562C7F3" w14:textId="4AEB06D8"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5</w:t>
            </w:r>
          </w:p>
        </w:tc>
        <w:tc>
          <w:tcPr>
            <w:tcW w:w="1172" w:type="dxa"/>
            <w:tcBorders>
              <w:top w:val="nil"/>
              <w:left w:val="single" w:sz="12" w:space="0" w:color="auto"/>
              <w:bottom w:val="single" w:sz="4" w:space="0" w:color="auto"/>
              <w:right w:val="single" w:sz="4" w:space="0" w:color="auto"/>
            </w:tcBorders>
            <w:noWrap/>
            <w:vAlign w:val="bottom"/>
            <w:hideMark/>
          </w:tcPr>
          <w:p w14:paraId="099D7006" w14:textId="18420A01"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5</w:t>
            </w:r>
          </w:p>
        </w:tc>
        <w:tc>
          <w:tcPr>
            <w:tcW w:w="1110" w:type="dxa"/>
            <w:tcBorders>
              <w:top w:val="nil"/>
              <w:left w:val="single" w:sz="12" w:space="0" w:color="auto"/>
              <w:bottom w:val="single" w:sz="4" w:space="0" w:color="auto"/>
              <w:right w:val="single" w:sz="12" w:space="0" w:color="auto"/>
            </w:tcBorders>
            <w:noWrap/>
            <w:vAlign w:val="bottom"/>
            <w:hideMark/>
          </w:tcPr>
          <w:p w14:paraId="77DF593D" w14:textId="16795C70"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5</w:t>
            </w:r>
          </w:p>
        </w:tc>
      </w:tr>
      <w:tr w:rsidR="00B012D1" w:rsidRPr="008D21C4" w14:paraId="6CAA0D7C" w14:textId="77777777" w:rsidTr="392B2B60">
        <w:trPr>
          <w:trHeight w:val="543"/>
        </w:trPr>
        <w:tc>
          <w:tcPr>
            <w:tcW w:w="1110" w:type="dxa"/>
            <w:tcBorders>
              <w:top w:val="nil"/>
              <w:left w:val="single" w:sz="12" w:space="0" w:color="auto"/>
              <w:bottom w:val="single" w:sz="4" w:space="0" w:color="auto"/>
              <w:right w:val="single" w:sz="4" w:space="0" w:color="auto"/>
            </w:tcBorders>
            <w:noWrap/>
            <w:vAlign w:val="bottom"/>
            <w:hideMark/>
          </w:tcPr>
          <w:p w14:paraId="23147331" w14:textId="19D65074"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(711)</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6293D5CC"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Supplies and Services</w:t>
            </w:r>
          </w:p>
        </w:tc>
        <w:tc>
          <w:tcPr>
            <w:tcW w:w="1026" w:type="dxa"/>
            <w:tcBorders>
              <w:top w:val="nil"/>
              <w:left w:val="nil"/>
              <w:bottom w:val="single" w:sz="4" w:space="0" w:color="auto"/>
              <w:right w:val="single" w:sz="4" w:space="0" w:color="auto"/>
            </w:tcBorders>
            <w:noWrap/>
            <w:vAlign w:val="bottom"/>
            <w:hideMark/>
          </w:tcPr>
          <w:p w14:paraId="5C7DD963" w14:textId="4FDA0DE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w:t>
            </w:r>
          </w:p>
        </w:tc>
        <w:tc>
          <w:tcPr>
            <w:tcW w:w="1172" w:type="dxa"/>
            <w:tcBorders>
              <w:top w:val="nil"/>
              <w:left w:val="single" w:sz="12" w:space="0" w:color="auto"/>
              <w:bottom w:val="single" w:sz="4" w:space="0" w:color="auto"/>
              <w:right w:val="single" w:sz="4" w:space="0" w:color="auto"/>
            </w:tcBorders>
            <w:noWrap/>
            <w:vAlign w:val="bottom"/>
            <w:hideMark/>
          </w:tcPr>
          <w:p w14:paraId="6309827B" w14:textId="149F07FD"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w:t>
            </w:r>
          </w:p>
        </w:tc>
        <w:tc>
          <w:tcPr>
            <w:tcW w:w="1172" w:type="dxa"/>
            <w:tcBorders>
              <w:top w:val="nil"/>
              <w:left w:val="single" w:sz="12" w:space="0" w:color="auto"/>
              <w:bottom w:val="single" w:sz="4" w:space="0" w:color="auto"/>
              <w:right w:val="single" w:sz="4" w:space="0" w:color="auto"/>
            </w:tcBorders>
            <w:noWrap/>
            <w:vAlign w:val="bottom"/>
            <w:hideMark/>
          </w:tcPr>
          <w:p w14:paraId="7EDF8883" w14:textId="3732FE9F"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w:t>
            </w:r>
          </w:p>
        </w:tc>
        <w:tc>
          <w:tcPr>
            <w:tcW w:w="1110" w:type="dxa"/>
            <w:tcBorders>
              <w:top w:val="nil"/>
              <w:left w:val="single" w:sz="12" w:space="0" w:color="auto"/>
              <w:bottom w:val="single" w:sz="4" w:space="0" w:color="auto"/>
              <w:right w:val="single" w:sz="12" w:space="0" w:color="auto"/>
            </w:tcBorders>
            <w:noWrap/>
            <w:vAlign w:val="bottom"/>
            <w:hideMark/>
          </w:tcPr>
          <w:p w14:paraId="60851601" w14:textId="5DCC6D4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w:t>
            </w:r>
          </w:p>
        </w:tc>
      </w:tr>
      <w:tr w:rsidR="00B012D1" w:rsidRPr="008D21C4" w14:paraId="089E65CD"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52D4482E" w14:textId="4398C174"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34E1E98C"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Third Party Payments</w:t>
            </w:r>
          </w:p>
        </w:tc>
        <w:tc>
          <w:tcPr>
            <w:tcW w:w="1026" w:type="dxa"/>
            <w:tcBorders>
              <w:top w:val="nil"/>
              <w:left w:val="nil"/>
              <w:bottom w:val="single" w:sz="4" w:space="0" w:color="auto"/>
              <w:right w:val="single" w:sz="4" w:space="0" w:color="auto"/>
            </w:tcBorders>
            <w:noWrap/>
            <w:vAlign w:val="bottom"/>
            <w:hideMark/>
          </w:tcPr>
          <w:p w14:paraId="59C97BB8" w14:textId="323F35CF"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219C3636" w14:textId="285077E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00D86C78" w14:textId="2FBBA330"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09C5E993" w14:textId="1752802F"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49C20CB4"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3FB42DB2" w14:textId="5CBA351B"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7E49DB0B" w14:textId="113BBC64"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color w:val="000000"/>
                <w:kern w:val="0"/>
                <w:sz w:val="20"/>
                <w:szCs w:val="20"/>
                <w:lang w:eastAsia="en-GB"/>
                <w14:ligatures w14:val="none"/>
              </w:rPr>
              <w:t>Corporat</w:t>
            </w:r>
            <w:r>
              <w:rPr>
                <w:rFonts w:eastAsia="Times New Roman" w:cs="Times New Roman"/>
                <w:b/>
                <w:color w:val="000000"/>
                <w:kern w:val="0"/>
                <w:sz w:val="20"/>
                <w:szCs w:val="20"/>
                <w:lang w:eastAsia="en-GB"/>
                <w14:ligatures w14:val="none"/>
              </w:rPr>
              <w:t>e Support Recharges</w:t>
            </w:r>
          </w:p>
        </w:tc>
        <w:tc>
          <w:tcPr>
            <w:tcW w:w="1026" w:type="dxa"/>
            <w:tcBorders>
              <w:top w:val="nil"/>
              <w:left w:val="nil"/>
              <w:bottom w:val="single" w:sz="4" w:space="0" w:color="auto"/>
              <w:right w:val="single" w:sz="4" w:space="0" w:color="auto"/>
            </w:tcBorders>
            <w:noWrap/>
            <w:vAlign w:val="bottom"/>
            <w:hideMark/>
          </w:tcPr>
          <w:p w14:paraId="72652131" w14:textId="41BB4B96"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2CB739BB" w14:textId="252425FA"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0C2E8830" w14:textId="6597DFE0"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702B5753" w14:textId="0B1A6CA3"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097C1614" w14:textId="77777777" w:rsidTr="392B2B60">
        <w:trPr>
          <w:trHeight w:val="270"/>
        </w:trPr>
        <w:tc>
          <w:tcPr>
            <w:tcW w:w="1110" w:type="dxa"/>
            <w:tcBorders>
              <w:top w:val="nil"/>
              <w:left w:val="single" w:sz="12" w:space="0" w:color="auto"/>
              <w:bottom w:val="single" w:sz="4" w:space="0" w:color="auto"/>
              <w:right w:val="single" w:sz="4" w:space="0" w:color="auto"/>
            </w:tcBorders>
            <w:noWrap/>
            <w:vAlign w:val="bottom"/>
            <w:hideMark/>
          </w:tcPr>
          <w:p w14:paraId="346E317B" w14:textId="0042323D"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026CF83B" w14:textId="2075753B"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Central Costs</w:t>
            </w:r>
          </w:p>
        </w:tc>
        <w:tc>
          <w:tcPr>
            <w:tcW w:w="1026" w:type="dxa"/>
            <w:tcBorders>
              <w:top w:val="nil"/>
              <w:left w:val="nil"/>
              <w:bottom w:val="single" w:sz="4" w:space="0" w:color="auto"/>
              <w:right w:val="single" w:sz="4" w:space="0" w:color="auto"/>
            </w:tcBorders>
            <w:noWrap/>
            <w:vAlign w:val="bottom"/>
            <w:hideMark/>
          </w:tcPr>
          <w:p w14:paraId="297B99EB" w14:textId="5BEEA311"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05CCA5D7" w14:textId="2DEC3A10"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1702EEF1" w14:textId="3FC461E8"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6695521D" w14:textId="668E3823"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05FE31E9" w14:textId="77777777" w:rsidTr="392B2B60">
        <w:trPr>
          <w:trHeight w:val="280"/>
        </w:trPr>
        <w:tc>
          <w:tcPr>
            <w:tcW w:w="111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867B42F" w14:textId="799BF753"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731</w:t>
            </w:r>
          </w:p>
        </w:tc>
        <w:tc>
          <w:tcPr>
            <w:tcW w:w="405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D7874BF"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Expenditure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51239F06" w14:textId="6DDC85EE"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1,355</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E9888A3" w14:textId="535169FF"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1,391</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CBEBECB" w14:textId="2BCEC663"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1,427</w:t>
            </w:r>
          </w:p>
        </w:tc>
        <w:tc>
          <w:tcPr>
            <w:tcW w:w="111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CAA2299" w14:textId="330A8BCD"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1,465</w:t>
            </w:r>
          </w:p>
        </w:tc>
      </w:tr>
      <w:tr w:rsidR="00B012D1" w:rsidRPr="008D21C4" w14:paraId="35DB241C" w14:textId="77777777" w:rsidTr="392B2B60">
        <w:trPr>
          <w:trHeight w:val="270"/>
        </w:trPr>
        <w:tc>
          <w:tcPr>
            <w:tcW w:w="1110" w:type="dxa"/>
            <w:tcBorders>
              <w:top w:val="single" w:sz="4" w:space="0" w:color="auto"/>
              <w:left w:val="single" w:sz="12" w:space="0" w:color="auto"/>
              <w:bottom w:val="single" w:sz="4" w:space="0" w:color="auto"/>
              <w:right w:val="single" w:sz="4" w:space="0" w:color="auto"/>
            </w:tcBorders>
            <w:noWrap/>
            <w:vAlign w:val="bottom"/>
            <w:hideMark/>
          </w:tcPr>
          <w:p w14:paraId="03CD6175" w14:textId="5EEA7948"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7920869D"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Charges</w:t>
            </w:r>
          </w:p>
        </w:tc>
        <w:tc>
          <w:tcPr>
            <w:tcW w:w="1026" w:type="dxa"/>
            <w:tcBorders>
              <w:top w:val="single" w:sz="4" w:space="0" w:color="auto"/>
              <w:left w:val="nil"/>
              <w:bottom w:val="single" w:sz="4" w:space="0" w:color="auto"/>
              <w:right w:val="single" w:sz="4" w:space="0" w:color="auto"/>
            </w:tcBorders>
            <w:noWrap/>
            <w:vAlign w:val="bottom"/>
            <w:hideMark/>
          </w:tcPr>
          <w:p w14:paraId="6FD92F51" w14:textId="75CC3965"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79F9210C" w14:textId="3B7EA2D3"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575B57B" w14:textId="427BCFFC"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single" w:sz="4" w:space="0" w:color="auto"/>
              <w:left w:val="single" w:sz="12" w:space="0" w:color="auto"/>
              <w:bottom w:val="single" w:sz="4" w:space="0" w:color="auto"/>
              <w:right w:val="single" w:sz="12" w:space="0" w:color="auto"/>
            </w:tcBorders>
            <w:noWrap/>
            <w:vAlign w:val="bottom"/>
            <w:hideMark/>
          </w:tcPr>
          <w:p w14:paraId="6FC00DB7" w14:textId="2290C9F3"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11EB96B0"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33051F1D" w14:textId="6F92821B"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66876650"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Grant</w:t>
            </w:r>
          </w:p>
        </w:tc>
        <w:tc>
          <w:tcPr>
            <w:tcW w:w="1026" w:type="dxa"/>
            <w:tcBorders>
              <w:top w:val="nil"/>
              <w:left w:val="nil"/>
              <w:bottom w:val="single" w:sz="4" w:space="0" w:color="auto"/>
              <w:right w:val="single" w:sz="4" w:space="0" w:color="auto"/>
            </w:tcBorders>
            <w:noWrap/>
            <w:vAlign w:val="bottom"/>
            <w:hideMark/>
          </w:tcPr>
          <w:p w14:paraId="736CEF8A" w14:textId="43F3F8BF"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352E713A" w14:textId="2E5A0C24"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51BA8DB8" w14:textId="509AAFEB"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7CDBA8E7" w14:textId="3CE5F0F8"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020FAC9A"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16009FA7" w14:textId="59E9BBF2"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30F9889C"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Recharges</w:t>
            </w:r>
          </w:p>
        </w:tc>
        <w:tc>
          <w:tcPr>
            <w:tcW w:w="1026" w:type="dxa"/>
            <w:tcBorders>
              <w:top w:val="nil"/>
              <w:left w:val="nil"/>
              <w:bottom w:val="single" w:sz="4" w:space="0" w:color="auto"/>
              <w:right w:val="single" w:sz="4" w:space="0" w:color="auto"/>
            </w:tcBorders>
            <w:noWrap/>
            <w:vAlign w:val="bottom"/>
            <w:hideMark/>
          </w:tcPr>
          <w:p w14:paraId="6FFA9253" w14:textId="31711606"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7ACC6931" w14:textId="0B1067A5"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0EEC8480" w14:textId="38CD80BA"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22A3D42E" w14:textId="13C0899C"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47B601C9"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2E5D32CA" w14:textId="2A6A3A9D"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4872349E"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CSR</w:t>
            </w:r>
          </w:p>
        </w:tc>
        <w:tc>
          <w:tcPr>
            <w:tcW w:w="1026" w:type="dxa"/>
            <w:tcBorders>
              <w:top w:val="nil"/>
              <w:left w:val="nil"/>
              <w:bottom w:val="single" w:sz="4" w:space="0" w:color="auto"/>
              <w:right w:val="single" w:sz="4" w:space="0" w:color="auto"/>
            </w:tcBorders>
            <w:noWrap/>
            <w:vAlign w:val="bottom"/>
            <w:hideMark/>
          </w:tcPr>
          <w:p w14:paraId="60597BF2" w14:textId="30A4566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(1,261)</w:t>
            </w:r>
          </w:p>
        </w:tc>
        <w:tc>
          <w:tcPr>
            <w:tcW w:w="1172" w:type="dxa"/>
            <w:tcBorders>
              <w:top w:val="nil"/>
              <w:left w:val="single" w:sz="12" w:space="0" w:color="auto"/>
              <w:bottom w:val="single" w:sz="4" w:space="0" w:color="auto"/>
              <w:right w:val="single" w:sz="4" w:space="0" w:color="auto"/>
            </w:tcBorders>
            <w:noWrap/>
            <w:vAlign w:val="bottom"/>
            <w:hideMark/>
          </w:tcPr>
          <w:p w14:paraId="63F4D7FE" w14:textId="5D052C96"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(1,299)</w:t>
            </w:r>
          </w:p>
        </w:tc>
        <w:tc>
          <w:tcPr>
            <w:tcW w:w="1172" w:type="dxa"/>
            <w:tcBorders>
              <w:top w:val="nil"/>
              <w:left w:val="single" w:sz="12" w:space="0" w:color="auto"/>
              <w:bottom w:val="single" w:sz="4" w:space="0" w:color="auto"/>
              <w:right w:val="single" w:sz="4" w:space="0" w:color="auto"/>
            </w:tcBorders>
            <w:noWrap/>
            <w:vAlign w:val="bottom"/>
            <w:hideMark/>
          </w:tcPr>
          <w:p w14:paraId="430F0663" w14:textId="64E413AF"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(1,325)</w:t>
            </w:r>
          </w:p>
        </w:tc>
        <w:tc>
          <w:tcPr>
            <w:tcW w:w="1110" w:type="dxa"/>
            <w:tcBorders>
              <w:top w:val="nil"/>
              <w:left w:val="single" w:sz="12" w:space="0" w:color="auto"/>
              <w:bottom w:val="single" w:sz="4" w:space="0" w:color="auto"/>
              <w:right w:val="single" w:sz="12" w:space="0" w:color="auto"/>
            </w:tcBorders>
            <w:noWrap/>
            <w:vAlign w:val="bottom"/>
            <w:hideMark/>
          </w:tcPr>
          <w:p w14:paraId="3274D902" w14:textId="10C6864C"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(1,351)</w:t>
            </w:r>
          </w:p>
        </w:tc>
      </w:tr>
      <w:tr w:rsidR="00B012D1" w:rsidRPr="008D21C4" w14:paraId="3C149FEB"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2C6F509D" w14:textId="51B5CD21"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457473A6"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Summary</w:t>
            </w:r>
          </w:p>
        </w:tc>
        <w:tc>
          <w:tcPr>
            <w:tcW w:w="1026" w:type="dxa"/>
            <w:tcBorders>
              <w:top w:val="nil"/>
              <w:left w:val="nil"/>
              <w:bottom w:val="single" w:sz="4" w:space="0" w:color="auto"/>
              <w:right w:val="single" w:sz="4" w:space="0" w:color="auto"/>
            </w:tcBorders>
            <w:noWrap/>
            <w:vAlign w:val="bottom"/>
            <w:hideMark/>
          </w:tcPr>
          <w:p w14:paraId="1F856E44" w14:textId="50AFF8EC"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5CE3DAB4" w14:textId="49833731"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2C4A077B" w14:textId="1A49C7ED"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2F0DB63A" w14:textId="3B19D672"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4489B81E"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7E47D3D5" w14:textId="15CBEF37"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24968DF0"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Bank Interest</w:t>
            </w:r>
          </w:p>
        </w:tc>
        <w:tc>
          <w:tcPr>
            <w:tcW w:w="1026" w:type="dxa"/>
            <w:tcBorders>
              <w:top w:val="nil"/>
              <w:left w:val="nil"/>
              <w:bottom w:val="single" w:sz="4" w:space="0" w:color="auto"/>
              <w:right w:val="single" w:sz="4" w:space="0" w:color="auto"/>
            </w:tcBorders>
            <w:noWrap/>
            <w:vAlign w:val="bottom"/>
            <w:hideMark/>
          </w:tcPr>
          <w:p w14:paraId="3ECFF7E5" w14:textId="18896074"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4B65DF83" w14:textId="0B319A94"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1E3C7DD5" w14:textId="5144B40C"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11B414AC" w14:textId="41831F1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03B5D3F5" w14:textId="77777777" w:rsidTr="392B2B60">
        <w:trPr>
          <w:trHeight w:val="260"/>
        </w:trPr>
        <w:tc>
          <w:tcPr>
            <w:tcW w:w="1110" w:type="dxa"/>
            <w:tcBorders>
              <w:top w:val="nil"/>
              <w:left w:val="single" w:sz="12" w:space="0" w:color="auto"/>
              <w:bottom w:val="single" w:sz="4" w:space="0" w:color="auto"/>
              <w:right w:val="single" w:sz="4" w:space="0" w:color="auto"/>
            </w:tcBorders>
            <w:noWrap/>
            <w:vAlign w:val="bottom"/>
            <w:hideMark/>
          </w:tcPr>
          <w:p w14:paraId="72692220" w14:textId="6975F33D"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464F0D8D" w14:textId="1BD56D49"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Interest From Investments</w:t>
            </w:r>
          </w:p>
        </w:tc>
        <w:tc>
          <w:tcPr>
            <w:tcW w:w="1026" w:type="dxa"/>
            <w:tcBorders>
              <w:top w:val="nil"/>
              <w:left w:val="nil"/>
              <w:bottom w:val="single" w:sz="4" w:space="0" w:color="auto"/>
              <w:right w:val="single" w:sz="4" w:space="0" w:color="auto"/>
            </w:tcBorders>
            <w:noWrap/>
            <w:vAlign w:val="bottom"/>
            <w:hideMark/>
          </w:tcPr>
          <w:p w14:paraId="61C7B1AA" w14:textId="77627C3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44F79F9F" w14:textId="25BCA29A"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6AB380EF" w14:textId="5DE569C5"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0366396E" w14:textId="55696471"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7682B6E0" w14:textId="77777777" w:rsidTr="392B2B60">
        <w:trPr>
          <w:trHeight w:val="270"/>
        </w:trPr>
        <w:tc>
          <w:tcPr>
            <w:tcW w:w="1110" w:type="dxa"/>
            <w:tcBorders>
              <w:top w:val="nil"/>
              <w:left w:val="single" w:sz="12" w:space="0" w:color="auto"/>
              <w:bottom w:val="single" w:sz="4" w:space="0" w:color="auto"/>
              <w:right w:val="single" w:sz="4" w:space="0" w:color="auto"/>
            </w:tcBorders>
            <w:noWrap/>
            <w:vAlign w:val="bottom"/>
            <w:hideMark/>
          </w:tcPr>
          <w:p w14:paraId="71910ACF" w14:textId="36CDEF0F"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645898DD"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Rents</w:t>
            </w:r>
          </w:p>
        </w:tc>
        <w:tc>
          <w:tcPr>
            <w:tcW w:w="1026" w:type="dxa"/>
            <w:tcBorders>
              <w:top w:val="nil"/>
              <w:left w:val="nil"/>
              <w:bottom w:val="single" w:sz="4" w:space="0" w:color="auto"/>
              <w:right w:val="single" w:sz="4" w:space="0" w:color="auto"/>
            </w:tcBorders>
            <w:noWrap/>
            <w:vAlign w:val="bottom"/>
            <w:hideMark/>
          </w:tcPr>
          <w:p w14:paraId="35ED4541" w14:textId="07057BC2"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6A86A8D3" w14:textId="6F9E0EF7"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4B079B2A" w14:textId="236F8D93"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7DD88567" w14:textId="1FF454B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58203E81" w14:textId="77777777" w:rsidTr="392B2B60">
        <w:trPr>
          <w:trHeight w:val="280"/>
        </w:trPr>
        <w:tc>
          <w:tcPr>
            <w:tcW w:w="111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0FAEB653" w14:textId="4CA891AB"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C9546E0"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Income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45CCC61B" w14:textId="20B7B8B8"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(1,261)</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BD8E5A1" w14:textId="0FFC2D08"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(1,299)</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AEE39F1" w14:textId="4C9B633D"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(1,325)</w:t>
            </w:r>
          </w:p>
        </w:tc>
        <w:tc>
          <w:tcPr>
            <w:tcW w:w="111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0318DF9" w14:textId="71938A22"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(1,351)</w:t>
            </w:r>
          </w:p>
        </w:tc>
      </w:tr>
      <w:tr w:rsidR="00B012D1" w:rsidRPr="008D21C4" w14:paraId="4487D08F" w14:textId="77777777" w:rsidTr="392B2B60">
        <w:trPr>
          <w:trHeight w:val="280"/>
        </w:trPr>
        <w:tc>
          <w:tcPr>
            <w:tcW w:w="1110" w:type="dxa"/>
            <w:tcBorders>
              <w:top w:val="nil"/>
              <w:left w:val="single" w:sz="12" w:space="0" w:color="auto"/>
              <w:bottom w:val="single" w:sz="12" w:space="0" w:color="auto"/>
              <w:right w:val="single" w:sz="4" w:space="0" w:color="auto"/>
            </w:tcBorders>
            <w:shd w:val="clear" w:color="auto" w:fill="E8E8E8"/>
            <w:noWrap/>
            <w:vAlign w:val="bottom"/>
            <w:hideMark/>
          </w:tcPr>
          <w:p w14:paraId="680ACBC7" w14:textId="5EC84E58"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731</w:t>
            </w:r>
          </w:p>
        </w:tc>
        <w:tc>
          <w:tcPr>
            <w:tcW w:w="4051" w:type="dxa"/>
            <w:tcBorders>
              <w:top w:val="nil"/>
              <w:left w:val="single" w:sz="12" w:space="0" w:color="auto"/>
              <w:bottom w:val="single" w:sz="12" w:space="0" w:color="auto"/>
              <w:right w:val="single" w:sz="12" w:space="0" w:color="auto"/>
            </w:tcBorders>
            <w:shd w:val="clear" w:color="auto" w:fill="E8E8E8"/>
            <w:noWrap/>
            <w:vAlign w:val="bottom"/>
            <w:hideMark/>
          </w:tcPr>
          <w:p w14:paraId="0138873C"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(Income)</w:t>
            </w:r>
          </w:p>
        </w:tc>
        <w:tc>
          <w:tcPr>
            <w:tcW w:w="1026" w:type="dxa"/>
            <w:tcBorders>
              <w:top w:val="nil"/>
              <w:left w:val="nil"/>
              <w:bottom w:val="single" w:sz="12" w:space="0" w:color="auto"/>
              <w:right w:val="single" w:sz="4" w:space="0" w:color="auto"/>
            </w:tcBorders>
            <w:shd w:val="clear" w:color="auto" w:fill="E8E8E8"/>
            <w:noWrap/>
            <w:vAlign w:val="bottom"/>
            <w:hideMark/>
          </w:tcPr>
          <w:p w14:paraId="70A8B886" w14:textId="4FB7AA7A"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94</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13BBE192" w14:textId="039EE44F"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92</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29C96AD8" w14:textId="102AED9B"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103</w:t>
            </w:r>
          </w:p>
        </w:tc>
        <w:tc>
          <w:tcPr>
            <w:tcW w:w="1110" w:type="dxa"/>
            <w:tcBorders>
              <w:top w:val="nil"/>
              <w:left w:val="single" w:sz="12" w:space="0" w:color="auto"/>
              <w:bottom w:val="single" w:sz="12" w:space="0" w:color="auto"/>
              <w:right w:val="single" w:sz="4" w:space="0" w:color="auto"/>
            </w:tcBorders>
            <w:shd w:val="clear" w:color="auto" w:fill="E8E8E8"/>
            <w:noWrap/>
            <w:vAlign w:val="bottom"/>
            <w:hideMark/>
          </w:tcPr>
          <w:p w14:paraId="2F149AEA" w14:textId="7BC6306D"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114</w:t>
            </w:r>
          </w:p>
        </w:tc>
      </w:tr>
      <w:tr w:rsidR="00B012D1" w:rsidRPr="008D21C4" w14:paraId="7DB17AD0" w14:textId="77777777" w:rsidTr="392B2B60">
        <w:trPr>
          <w:trHeight w:val="270"/>
        </w:trPr>
        <w:tc>
          <w:tcPr>
            <w:tcW w:w="1110" w:type="dxa"/>
            <w:tcBorders>
              <w:top w:val="single" w:sz="4" w:space="0" w:color="auto"/>
              <w:left w:val="single" w:sz="12" w:space="0" w:color="auto"/>
              <w:bottom w:val="single" w:sz="4" w:space="0" w:color="auto"/>
              <w:right w:val="single" w:sz="4" w:space="0" w:color="auto"/>
            </w:tcBorders>
            <w:noWrap/>
            <w:vAlign w:val="bottom"/>
            <w:hideMark/>
          </w:tcPr>
          <w:p w14:paraId="2958D7B7" w14:textId="6CA81C90"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5058522F"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from Reserves</w:t>
            </w:r>
          </w:p>
        </w:tc>
        <w:tc>
          <w:tcPr>
            <w:tcW w:w="1026" w:type="dxa"/>
            <w:tcBorders>
              <w:top w:val="single" w:sz="4" w:space="0" w:color="auto"/>
              <w:left w:val="nil"/>
              <w:bottom w:val="single" w:sz="4" w:space="0" w:color="auto"/>
              <w:right w:val="single" w:sz="4" w:space="0" w:color="auto"/>
            </w:tcBorders>
            <w:noWrap/>
            <w:vAlign w:val="bottom"/>
            <w:hideMark/>
          </w:tcPr>
          <w:p w14:paraId="6755B295" w14:textId="3917F21D"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5DB0F257" w14:textId="23D56972"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84DE93E" w14:textId="4588376E"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single" w:sz="4" w:space="0" w:color="auto"/>
              <w:left w:val="single" w:sz="12" w:space="0" w:color="auto"/>
              <w:bottom w:val="single" w:sz="4" w:space="0" w:color="auto"/>
              <w:right w:val="single" w:sz="12" w:space="0" w:color="auto"/>
            </w:tcBorders>
            <w:noWrap/>
            <w:vAlign w:val="bottom"/>
            <w:hideMark/>
          </w:tcPr>
          <w:p w14:paraId="0FF9D01C" w14:textId="4B42CFEE"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596CEC9F" w14:textId="77777777" w:rsidTr="392B2B60">
        <w:trPr>
          <w:trHeight w:val="270"/>
        </w:trPr>
        <w:tc>
          <w:tcPr>
            <w:tcW w:w="1110" w:type="dxa"/>
            <w:tcBorders>
              <w:top w:val="nil"/>
              <w:left w:val="single" w:sz="12" w:space="0" w:color="auto"/>
              <w:bottom w:val="single" w:sz="4" w:space="0" w:color="auto"/>
              <w:right w:val="single" w:sz="4" w:space="0" w:color="auto"/>
            </w:tcBorders>
            <w:noWrap/>
            <w:vAlign w:val="bottom"/>
            <w:hideMark/>
          </w:tcPr>
          <w:p w14:paraId="1CC18A0E" w14:textId="19CB7C55"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51" w:type="dxa"/>
            <w:tcBorders>
              <w:top w:val="nil"/>
              <w:left w:val="single" w:sz="12" w:space="0" w:color="auto"/>
              <w:bottom w:val="single" w:sz="4" w:space="0" w:color="auto"/>
              <w:right w:val="single" w:sz="12" w:space="0" w:color="auto"/>
            </w:tcBorders>
            <w:shd w:val="clear" w:color="auto" w:fill="E8E8E8"/>
            <w:vAlign w:val="bottom"/>
            <w:hideMark/>
          </w:tcPr>
          <w:p w14:paraId="47DA04BE" w14:textId="77777777"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To Reserves</w:t>
            </w:r>
          </w:p>
        </w:tc>
        <w:tc>
          <w:tcPr>
            <w:tcW w:w="1026" w:type="dxa"/>
            <w:tcBorders>
              <w:top w:val="nil"/>
              <w:left w:val="nil"/>
              <w:bottom w:val="single" w:sz="4" w:space="0" w:color="auto"/>
              <w:right w:val="single" w:sz="4" w:space="0" w:color="auto"/>
            </w:tcBorders>
            <w:noWrap/>
            <w:vAlign w:val="bottom"/>
            <w:hideMark/>
          </w:tcPr>
          <w:p w14:paraId="11F4B5B5" w14:textId="09836EB7"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73EB9B92" w14:textId="012B5836"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72" w:type="dxa"/>
            <w:tcBorders>
              <w:top w:val="nil"/>
              <w:left w:val="single" w:sz="12" w:space="0" w:color="auto"/>
              <w:bottom w:val="single" w:sz="4" w:space="0" w:color="auto"/>
              <w:right w:val="single" w:sz="4" w:space="0" w:color="auto"/>
            </w:tcBorders>
            <w:noWrap/>
            <w:vAlign w:val="bottom"/>
            <w:hideMark/>
          </w:tcPr>
          <w:p w14:paraId="30BC206F" w14:textId="62067337"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c>
          <w:tcPr>
            <w:tcW w:w="1110" w:type="dxa"/>
            <w:tcBorders>
              <w:top w:val="nil"/>
              <w:left w:val="single" w:sz="12" w:space="0" w:color="auto"/>
              <w:bottom w:val="single" w:sz="4" w:space="0" w:color="auto"/>
              <w:right w:val="single" w:sz="12" w:space="0" w:color="auto"/>
            </w:tcBorders>
            <w:noWrap/>
            <w:vAlign w:val="bottom"/>
            <w:hideMark/>
          </w:tcPr>
          <w:p w14:paraId="3C35077C" w14:textId="2003A73C"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w:t>
            </w:r>
          </w:p>
        </w:tc>
      </w:tr>
      <w:tr w:rsidR="00B012D1" w:rsidRPr="008D21C4" w14:paraId="37A72AA3" w14:textId="77777777" w:rsidTr="392B2B60">
        <w:trPr>
          <w:trHeight w:val="280"/>
        </w:trPr>
        <w:tc>
          <w:tcPr>
            <w:tcW w:w="111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2BE8207" w14:textId="4D1C7872" w:rsidR="00B012D1" w:rsidRPr="008D21C4" w:rsidRDefault="00B012D1" w:rsidP="00B012D1">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731</w:t>
            </w:r>
          </w:p>
        </w:tc>
        <w:tc>
          <w:tcPr>
            <w:tcW w:w="405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218F2076" w14:textId="1A013903" w:rsidR="00B012D1" w:rsidRPr="008D21C4" w:rsidRDefault="00B012D1" w:rsidP="00B012D1">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after Contribution to/(From) Reserves</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0ADD0126" w14:textId="1017D2D5"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94</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B81BDB5" w14:textId="7D56C7F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92</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B57BDB8" w14:textId="6E2AEEE9"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103</w:t>
            </w:r>
          </w:p>
        </w:tc>
        <w:tc>
          <w:tcPr>
            <w:tcW w:w="111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0160414" w14:textId="11592EB1" w:rsidR="00B012D1" w:rsidRPr="008D21C4" w:rsidRDefault="00B012D1" w:rsidP="00B012D1">
            <w:pPr>
              <w:jc w:val="right"/>
              <w:rPr>
                <w:rFonts w:eastAsia="Times New Roman" w:cs="Times New Roman"/>
                <w:b/>
                <w:bCs/>
                <w:color w:val="000000"/>
                <w:kern w:val="0"/>
                <w:sz w:val="20"/>
                <w:szCs w:val="20"/>
                <w:lang w:eastAsia="en-GB"/>
                <w14:ligatures w14:val="none"/>
              </w:rPr>
            </w:pPr>
            <w:r>
              <w:rPr>
                <w:color w:val="000000"/>
                <w:sz w:val="20"/>
                <w:szCs w:val="20"/>
              </w:rPr>
              <w:t>114</w:t>
            </w:r>
          </w:p>
        </w:tc>
      </w:tr>
    </w:tbl>
    <w:p w14:paraId="1CFC2B54" w14:textId="77777777" w:rsidR="001716C7" w:rsidRDefault="001716C7">
      <w:r>
        <w:br w:type="page"/>
      </w:r>
    </w:p>
    <w:tbl>
      <w:tblPr>
        <w:tblW w:w="9686" w:type="dxa"/>
        <w:tblLook w:val="04A0" w:firstRow="1" w:lastRow="0" w:firstColumn="1" w:lastColumn="0" w:noHBand="0" w:noVBand="1"/>
      </w:tblPr>
      <w:tblGrid>
        <w:gridCol w:w="1185"/>
        <w:gridCol w:w="3976"/>
        <w:gridCol w:w="1026"/>
        <w:gridCol w:w="1172"/>
        <w:gridCol w:w="1172"/>
        <w:gridCol w:w="1155"/>
      </w:tblGrid>
      <w:tr w:rsidR="00CD6EE7" w:rsidRPr="008D21C4" w14:paraId="0BCA1D12" w14:textId="77777777" w:rsidTr="4FDE0A4D">
        <w:trPr>
          <w:trHeight w:val="280"/>
        </w:trPr>
        <w:tc>
          <w:tcPr>
            <w:tcW w:w="1185" w:type="dxa"/>
            <w:tcBorders>
              <w:top w:val="nil"/>
              <w:left w:val="nil"/>
              <w:bottom w:val="nil"/>
              <w:right w:val="nil"/>
            </w:tcBorders>
            <w:noWrap/>
            <w:vAlign w:val="bottom"/>
            <w:hideMark/>
          </w:tcPr>
          <w:p w14:paraId="231B91F9" w14:textId="4EAB4ED5" w:rsidR="00CD6EE7" w:rsidRPr="008D21C4" w:rsidRDefault="00CD6EE7" w:rsidP="00CD6EE7">
            <w:pPr>
              <w:jc w:val="right"/>
              <w:rPr>
                <w:rFonts w:eastAsia="Times New Roman" w:cs="Times New Roman"/>
                <w:b/>
                <w:bCs/>
                <w:color w:val="000000"/>
                <w:kern w:val="0"/>
                <w:sz w:val="20"/>
                <w:szCs w:val="20"/>
                <w:lang w:eastAsia="en-GB"/>
                <w14:ligatures w14:val="none"/>
              </w:rPr>
            </w:pPr>
          </w:p>
        </w:tc>
        <w:tc>
          <w:tcPr>
            <w:tcW w:w="3976" w:type="dxa"/>
            <w:tcBorders>
              <w:top w:val="nil"/>
              <w:left w:val="nil"/>
              <w:bottom w:val="nil"/>
              <w:right w:val="nil"/>
            </w:tcBorders>
            <w:noWrap/>
            <w:vAlign w:val="bottom"/>
            <w:hideMark/>
          </w:tcPr>
          <w:p w14:paraId="73BBC05D"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026" w:type="dxa"/>
            <w:tcBorders>
              <w:top w:val="nil"/>
              <w:left w:val="nil"/>
              <w:bottom w:val="nil"/>
              <w:right w:val="nil"/>
            </w:tcBorders>
            <w:noWrap/>
            <w:vAlign w:val="bottom"/>
            <w:hideMark/>
          </w:tcPr>
          <w:p w14:paraId="04CFB7DC"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2FCD2101"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6B77F209"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55" w:type="dxa"/>
            <w:tcBorders>
              <w:top w:val="nil"/>
              <w:left w:val="nil"/>
              <w:bottom w:val="nil"/>
              <w:right w:val="nil"/>
            </w:tcBorders>
            <w:noWrap/>
            <w:vAlign w:val="bottom"/>
            <w:hideMark/>
          </w:tcPr>
          <w:p w14:paraId="738D38D4"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r>
      <w:tr w:rsidR="001716C7" w:rsidRPr="008D21C4" w14:paraId="297E414F" w14:textId="77777777" w:rsidTr="4FDE0A4D">
        <w:trPr>
          <w:trHeight w:val="270"/>
        </w:trPr>
        <w:tc>
          <w:tcPr>
            <w:tcW w:w="1185" w:type="dxa"/>
            <w:tcBorders>
              <w:top w:val="single" w:sz="12" w:space="0" w:color="auto"/>
              <w:left w:val="single" w:sz="12" w:space="0" w:color="auto"/>
              <w:bottom w:val="nil"/>
              <w:right w:val="single" w:sz="4" w:space="0" w:color="auto"/>
            </w:tcBorders>
            <w:shd w:val="clear" w:color="auto" w:fill="E8E8E8"/>
            <w:hideMark/>
          </w:tcPr>
          <w:p w14:paraId="63C9FF59" w14:textId="3B924729"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025/26</w:t>
            </w:r>
          </w:p>
        </w:tc>
        <w:tc>
          <w:tcPr>
            <w:tcW w:w="3976" w:type="dxa"/>
            <w:tcBorders>
              <w:top w:val="single" w:sz="12" w:space="0" w:color="auto"/>
              <w:left w:val="single" w:sz="12" w:space="0" w:color="auto"/>
              <w:bottom w:val="nil"/>
              <w:right w:val="single" w:sz="12" w:space="0" w:color="auto"/>
            </w:tcBorders>
            <w:shd w:val="clear" w:color="auto" w:fill="E8E8E8"/>
            <w:noWrap/>
            <w:vAlign w:val="bottom"/>
            <w:hideMark/>
          </w:tcPr>
          <w:p w14:paraId="5755E1E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Legal and Governance</w:t>
            </w:r>
          </w:p>
        </w:tc>
        <w:tc>
          <w:tcPr>
            <w:tcW w:w="1026" w:type="dxa"/>
            <w:tcBorders>
              <w:top w:val="single" w:sz="12" w:space="0" w:color="auto"/>
              <w:left w:val="nil"/>
              <w:bottom w:val="nil"/>
              <w:right w:val="single" w:sz="12" w:space="0" w:color="auto"/>
            </w:tcBorders>
            <w:shd w:val="clear" w:color="auto" w:fill="E8E8E8"/>
            <w:hideMark/>
          </w:tcPr>
          <w:p w14:paraId="14C9572F" w14:textId="7E981385"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026/27</w:t>
            </w:r>
          </w:p>
        </w:tc>
        <w:tc>
          <w:tcPr>
            <w:tcW w:w="1172" w:type="dxa"/>
            <w:tcBorders>
              <w:top w:val="single" w:sz="12" w:space="0" w:color="auto"/>
              <w:left w:val="nil"/>
              <w:bottom w:val="nil"/>
              <w:right w:val="single" w:sz="12" w:space="0" w:color="auto"/>
            </w:tcBorders>
            <w:shd w:val="clear" w:color="auto" w:fill="E8E8E8"/>
            <w:hideMark/>
          </w:tcPr>
          <w:p w14:paraId="0B2252E3" w14:textId="305DB223"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027/28</w:t>
            </w:r>
          </w:p>
        </w:tc>
        <w:tc>
          <w:tcPr>
            <w:tcW w:w="1172" w:type="dxa"/>
            <w:tcBorders>
              <w:top w:val="single" w:sz="12" w:space="0" w:color="auto"/>
              <w:left w:val="nil"/>
              <w:bottom w:val="nil"/>
              <w:right w:val="single" w:sz="12" w:space="0" w:color="auto"/>
            </w:tcBorders>
            <w:shd w:val="clear" w:color="auto" w:fill="E8E8E8"/>
            <w:hideMark/>
          </w:tcPr>
          <w:p w14:paraId="3ED27368" w14:textId="10825E54"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028/29</w:t>
            </w:r>
          </w:p>
        </w:tc>
        <w:tc>
          <w:tcPr>
            <w:tcW w:w="1155" w:type="dxa"/>
            <w:tcBorders>
              <w:top w:val="single" w:sz="12" w:space="0" w:color="auto"/>
              <w:left w:val="nil"/>
              <w:bottom w:val="nil"/>
              <w:right w:val="single" w:sz="12" w:space="0" w:color="auto"/>
            </w:tcBorders>
            <w:shd w:val="clear" w:color="auto" w:fill="E8E8E8"/>
            <w:hideMark/>
          </w:tcPr>
          <w:p w14:paraId="2AA22550" w14:textId="467C8558"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Budget</w:t>
            </w:r>
            <w:r w:rsidR="005A0712">
              <w:rPr>
                <w:rFonts w:eastAsia="Times New Roman" w:cs="Times New Roman"/>
                <w:b/>
                <w:bCs/>
                <w:color w:val="000000"/>
                <w:kern w:val="0"/>
                <w:sz w:val="20"/>
                <w:szCs w:val="20"/>
                <w:lang w:eastAsia="en-GB"/>
                <w14:ligatures w14:val="none"/>
              </w:rPr>
              <w:t xml:space="preserve"> </w:t>
            </w:r>
            <w:r w:rsidRPr="008D21C4">
              <w:rPr>
                <w:rFonts w:eastAsia="Times New Roman" w:cs="Times New Roman"/>
                <w:b/>
                <w:bCs/>
                <w:color w:val="000000"/>
                <w:kern w:val="0"/>
                <w:sz w:val="20"/>
                <w:szCs w:val="20"/>
                <w:lang w:eastAsia="en-GB"/>
                <w14:ligatures w14:val="none"/>
              </w:rPr>
              <w:t>2029/30</w:t>
            </w:r>
          </w:p>
        </w:tc>
      </w:tr>
      <w:tr w:rsidR="001716C7" w:rsidRPr="008D21C4" w14:paraId="6539C27D" w14:textId="77777777" w:rsidTr="4FDE0A4D">
        <w:trPr>
          <w:trHeight w:val="270"/>
        </w:trPr>
        <w:tc>
          <w:tcPr>
            <w:tcW w:w="1185" w:type="dxa"/>
            <w:tcBorders>
              <w:top w:val="nil"/>
              <w:left w:val="single" w:sz="12" w:space="0" w:color="auto"/>
              <w:bottom w:val="single" w:sz="12" w:space="0" w:color="auto"/>
              <w:right w:val="single" w:sz="4" w:space="0" w:color="auto"/>
            </w:tcBorders>
            <w:shd w:val="clear" w:color="auto" w:fill="E8E8E8"/>
            <w:noWrap/>
            <w:vAlign w:val="bottom"/>
            <w:hideMark/>
          </w:tcPr>
          <w:p w14:paraId="6B9C45F8"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3976" w:type="dxa"/>
            <w:tcBorders>
              <w:top w:val="nil"/>
              <w:left w:val="single" w:sz="12" w:space="0" w:color="auto"/>
              <w:bottom w:val="single" w:sz="12" w:space="0" w:color="auto"/>
              <w:right w:val="single" w:sz="12" w:space="0" w:color="auto"/>
            </w:tcBorders>
            <w:shd w:val="clear" w:color="auto" w:fill="E8E8E8"/>
            <w:noWrap/>
            <w:vAlign w:val="bottom"/>
            <w:hideMark/>
          </w:tcPr>
          <w:p w14:paraId="653525DD"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Type of Expenditure / Income </w:t>
            </w:r>
          </w:p>
        </w:tc>
        <w:tc>
          <w:tcPr>
            <w:tcW w:w="1026" w:type="dxa"/>
            <w:tcBorders>
              <w:top w:val="nil"/>
              <w:left w:val="nil"/>
              <w:bottom w:val="single" w:sz="12" w:space="0" w:color="auto"/>
              <w:right w:val="single" w:sz="12" w:space="0" w:color="auto"/>
            </w:tcBorders>
            <w:shd w:val="clear" w:color="auto" w:fill="E8E8E8"/>
            <w:noWrap/>
            <w:vAlign w:val="bottom"/>
            <w:hideMark/>
          </w:tcPr>
          <w:p w14:paraId="42FA8958"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2073CAB0"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153393FD"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55" w:type="dxa"/>
            <w:tcBorders>
              <w:top w:val="nil"/>
              <w:left w:val="nil"/>
              <w:bottom w:val="single" w:sz="12" w:space="0" w:color="auto"/>
              <w:right w:val="single" w:sz="12" w:space="0" w:color="auto"/>
            </w:tcBorders>
            <w:shd w:val="clear" w:color="auto" w:fill="E8E8E8"/>
            <w:noWrap/>
            <w:vAlign w:val="bottom"/>
            <w:hideMark/>
          </w:tcPr>
          <w:p w14:paraId="76C10069"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r>
      <w:tr w:rsidR="00CD6EE7" w:rsidRPr="008D21C4" w14:paraId="6C663B8E" w14:textId="77777777" w:rsidTr="4FDE0A4D">
        <w:trPr>
          <w:trHeight w:val="270"/>
        </w:trPr>
        <w:tc>
          <w:tcPr>
            <w:tcW w:w="1185" w:type="dxa"/>
            <w:tcBorders>
              <w:top w:val="single" w:sz="4" w:space="0" w:color="auto"/>
              <w:left w:val="single" w:sz="12" w:space="0" w:color="auto"/>
              <w:bottom w:val="single" w:sz="4" w:space="0" w:color="auto"/>
              <w:right w:val="single" w:sz="4" w:space="0" w:color="auto"/>
            </w:tcBorders>
            <w:noWrap/>
            <w:vAlign w:val="bottom"/>
            <w:hideMark/>
          </w:tcPr>
          <w:p w14:paraId="73E72979" w14:textId="311D77A3"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1,665</w:t>
            </w:r>
          </w:p>
        </w:tc>
        <w:tc>
          <w:tcPr>
            <w:tcW w:w="397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062EEEA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Employees</w:t>
            </w:r>
          </w:p>
        </w:tc>
        <w:tc>
          <w:tcPr>
            <w:tcW w:w="1026" w:type="dxa"/>
            <w:tcBorders>
              <w:top w:val="single" w:sz="4" w:space="0" w:color="auto"/>
              <w:left w:val="nil"/>
              <w:bottom w:val="single" w:sz="4" w:space="0" w:color="auto"/>
              <w:right w:val="single" w:sz="4" w:space="0" w:color="auto"/>
            </w:tcBorders>
            <w:noWrap/>
            <w:vAlign w:val="bottom"/>
            <w:hideMark/>
          </w:tcPr>
          <w:p w14:paraId="51868BDB" w14:textId="4BE32F0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2,345</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1B02ED2" w14:textId="72758EA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1,992</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4F00F519" w14:textId="1DFF74C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2,040</w:t>
            </w:r>
          </w:p>
        </w:tc>
        <w:tc>
          <w:tcPr>
            <w:tcW w:w="1155" w:type="dxa"/>
            <w:tcBorders>
              <w:top w:val="single" w:sz="4" w:space="0" w:color="auto"/>
              <w:left w:val="single" w:sz="12" w:space="0" w:color="auto"/>
              <w:bottom w:val="single" w:sz="4" w:space="0" w:color="auto"/>
              <w:right w:val="single" w:sz="12" w:space="0" w:color="auto"/>
            </w:tcBorders>
            <w:noWrap/>
            <w:vAlign w:val="bottom"/>
            <w:hideMark/>
          </w:tcPr>
          <w:p w14:paraId="72C78C82" w14:textId="5F7048A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2,090</w:t>
            </w:r>
          </w:p>
        </w:tc>
      </w:tr>
      <w:tr w:rsidR="00CD6EE7" w:rsidRPr="008D21C4" w14:paraId="59040718"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290798D2" w14:textId="7C198EB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237E68DD"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Premises</w:t>
            </w:r>
          </w:p>
        </w:tc>
        <w:tc>
          <w:tcPr>
            <w:tcW w:w="1026" w:type="dxa"/>
            <w:tcBorders>
              <w:top w:val="nil"/>
              <w:left w:val="nil"/>
              <w:bottom w:val="single" w:sz="4" w:space="0" w:color="auto"/>
              <w:right w:val="single" w:sz="4" w:space="0" w:color="auto"/>
            </w:tcBorders>
            <w:noWrap/>
            <w:vAlign w:val="bottom"/>
            <w:hideMark/>
          </w:tcPr>
          <w:p w14:paraId="43899F15" w14:textId="02AF8D6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1A8B655" w14:textId="7DFEBA59"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0679C38" w14:textId="63D60E84"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71E0D2CD" w14:textId="6AE02AF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35AA7393"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0A91110B" w14:textId="100D46B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7A4786F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Transport</w:t>
            </w:r>
          </w:p>
        </w:tc>
        <w:tc>
          <w:tcPr>
            <w:tcW w:w="1026" w:type="dxa"/>
            <w:tcBorders>
              <w:top w:val="nil"/>
              <w:left w:val="nil"/>
              <w:bottom w:val="single" w:sz="4" w:space="0" w:color="auto"/>
              <w:right w:val="single" w:sz="4" w:space="0" w:color="auto"/>
            </w:tcBorders>
            <w:noWrap/>
            <w:vAlign w:val="bottom"/>
            <w:hideMark/>
          </w:tcPr>
          <w:p w14:paraId="2512C0BA" w14:textId="6BDE166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B785C30" w14:textId="01BD14E9"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3757541" w14:textId="3F6CC444"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3C2013F5" w14:textId="7AD9DBE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296A2982"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67209283" w14:textId="6E107285"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67A189B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Supplies and Services</w:t>
            </w:r>
          </w:p>
        </w:tc>
        <w:tc>
          <w:tcPr>
            <w:tcW w:w="1026" w:type="dxa"/>
            <w:tcBorders>
              <w:top w:val="nil"/>
              <w:left w:val="nil"/>
              <w:bottom w:val="single" w:sz="4" w:space="0" w:color="auto"/>
              <w:right w:val="single" w:sz="4" w:space="0" w:color="auto"/>
            </w:tcBorders>
            <w:noWrap/>
            <w:vAlign w:val="bottom"/>
            <w:hideMark/>
          </w:tcPr>
          <w:p w14:paraId="3B2C7743" w14:textId="7F7CF5A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303</w:t>
            </w:r>
          </w:p>
        </w:tc>
        <w:tc>
          <w:tcPr>
            <w:tcW w:w="1172" w:type="dxa"/>
            <w:tcBorders>
              <w:top w:val="nil"/>
              <w:left w:val="single" w:sz="12" w:space="0" w:color="auto"/>
              <w:bottom w:val="single" w:sz="4" w:space="0" w:color="auto"/>
              <w:right w:val="single" w:sz="4" w:space="0" w:color="auto"/>
            </w:tcBorders>
            <w:noWrap/>
            <w:vAlign w:val="bottom"/>
            <w:hideMark/>
          </w:tcPr>
          <w:p w14:paraId="33E81A03" w14:textId="194C9FA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303</w:t>
            </w:r>
          </w:p>
        </w:tc>
        <w:tc>
          <w:tcPr>
            <w:tcW w:w="1172" w:type="dxa"/>
            <w:tcBorders>
              <w:top w:val="nil"/>
              <w:left w:val="single" w:sz="12" w:space="0" w:color="auto"/>
              <w:bottom w:val="single" w:sz="4" w:space="0" w:color="auto"/>
              <w:right w:val="single" w:sz="4" w:space="0" w:color="auto"/>
            </w:tcBorders>
            <w:noWrap/>
            <w:vAlign w:val="bottom"/>
            <w:hideMark/>
          </w:tcPr>
          <w:p w14:paraId="6A3AA24E" w14:textId="0F903943"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303</w:t>
            </w:r>
          </w:p>
        </w:tc>
        <w:tc>
          <w:tcPr>
            <w:tcW w:w="1155" w:type="dxa"/>
            <w:tcBorders>
              <w:top w:val="nil"/>
              <w:left w:val="single" w:sz="12" w:space="0" w:color="auto"/>
              <w:bottom w:val="single" w:sz="4" w:space="0" w:color="auto"/>
              <w:right w:val="single" w:sz="12" w:space="0" w:color="auto"/>
            </w:tcBorders>
            <w:noWrap/>
            <w:vAlign w:val="bottom"/>
            <w:hideMark/>
          </w:tcPr>
          <w:p w14:paraId="66717389" w14:textId="422C12C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303</w:t>
            </w:r>
          </w:p>
        </w:tc>
      </w:tr>
      <w:tr w:rsidR="00CD6EE7" w:rsidRPr="008D21C4" w14:paraId="50EF8105"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68C738CA" w14:textId="515C97A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3DDA920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Third Party Payments</w:t>
            </w:r>
          </w:p>
        </w:tc>
        <w:tc>
          <w:tcPr>
            <w:tcW w:w="1026" w:type="dxa"/>
            <w:tcBorders>
              <w:top w:val="nil"/>
              <w:left w:val="nil"/>
              <w:bottom w:val="single" w:sz="4" w:space="0" w:color="auto"/>
              <w:right w:val="single" w:sz="4" w:space="0" w:color="auto"/>
            </w:tcBorders>
            <w:noWrap/>
            <w:vAlign w:val="bottom"/>
            <w:hideMark/>
          </w:tcPr>
          <w:p w14:paraId="0521A916" w14:textId="4D4C191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760527B" w14:textId="50551062"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549404E" w14:textId="08C8B904"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2634C17C" w14:textId="2839C50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3260C22E"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0F3587E4" w14:textId="513313F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13AAFEF6" w14:textId="38206FCE" w:rsidR="00CD6EE7" w:rsidRPr="008D21C4" w:rsidRDefault="00B67584" w:rsidP="00CD6EE7">
            <w:pPr>
              <w:rPr>
                <w:rFonts w:eastAsia="Times New Roman" w:cs="Times New Roman"/>
                <w:b/>
                <w:bCs/>
                <w:color w:val="000000"/>
                <w:kern w:val="0"/>
                <w:sz w:val="20"/>
                <w:szCs w:val="20"/>
                <w:lang w:eastAsia="en-GB"/>
                <w14:ligatures w14:val="none"/>
              </w:rPr>
            </w:pPr>
            <w:r w:rsidRPr="008D21C4">
              <w:rPr>
                <w:rFonts w:eastAsia="Times New Roman" w:cs="Times New Roman"/>
                <w:b/>
                <w:color w:val="000000"/>
                <w:kern w:val="0"/>
                <w:sz w:val="20"/>
                <w:szCs w:val="20"/>
                <w:lang w:eastAsia="en-GB"/>
                <w14:ligatures w14:val="none"/>
              </w:rPr>
              <w:t>Corporat</w:t>
            </w:r>
            <w:r>
              <w:rPr>
                <w:rFonts w:eastAsia="Times New Roman" w:cs="Times New Roman"/>
                <w:b/>
                <w:color w:val="000000"/>
                <w:kern w:val="0"/>
                <w:sz w:val="20"/>
                <w:szCs w:val="20"/>
                <w:lang w:eastAsia="en-GB"/>
                <w14:ligatures w14:val="none"/>
              </w:rPr>
              <w:t>e Support Recharges</w:t>
            </w:r>
          </w:p>
        </w:tc>
        <w:tc>
          <w:tcPr>
            <w:tcW w:w="1026" w:type="dxa"/>
            <w:tcBorders>
              <w:top w:val="nil"/>
              <w:left w:val="nil"/>
              <w:bottom w:val="single" w:sz="4" w:space="0" w:color="auto"/>
              <w:right w:val="single" w:sz="4" w:space="0" w:color="auto"/>
            </w:tcBorders>
            <w:noWrap/>
            <w:vAlign w:val="bottom"/>
            <w:hideMark/>
          </w:tcPr>
          <w:p w14:paraId="2203E1A2" w14:textId="3FFFB80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9F3DB85" w14:textId="072FD1D5"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B3944B9" w14:textId="100B43C2"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0F0E4B05" w14:textId="301BEBC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245F2642" w14:textId="77777777" w:rsidTr="4FDE0A4D">
        <w:trPr>
          <w:trHeight w:val="270"/>
        </w:trPr>
        <w:tc>
          <w:tcPr>
            <w:tcW w:w="1185" w:type="dxa"/>
            <w:tcBorders>
              <w:top w:val="nil"/>
              <w:left w:val="single" w:sz="12" w:space="0" w:color="auto"/>
              <w:bottom w:val="single" w:sz="4" w:space="0" w:color="auto"/>
              <w:right w:val="single" w:sz="4" w:space="0" w:color="auto"/>
            </w:tcBorders>
            <w:noWrap/>
            <w:vAlign w:val="bottom"/>
            <w:hideMark/>
          </w:tcPr>
          <w:p w14:paraId="45061D80" w14:textId="770B1D1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16A69995" w14:textId="79BDE47F" w:rsidR="00CD6EE7" w:rsidRPr="008D21C4" w:rsidRDefault="00866ED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Central </w:t>
            </w:r>
            <w:r w:rsidR="00D6247B" w:rsidRPr="008D21C4">
              <w:rPr>
                <w:rFonts w:eastAsia="Times New Roman" w:cs="Times New Roman"/>
                <w:b/>
                <w:bCs/>
                <w:color w:val="000000"/>
                <w:kern w:val="0"/>
                <w:sz w:val="20"/>
                <w:szCs w:val="20"/>
                <w:lang w:eastAsia="en-GB"/>
                <w14:ligatures w14:val="none"/>
              </w:rPr>
              <w:t>Costs</w:t>
            </w:r>
          </w:p>
        </w:tc>
        <w:tc>
          <w:tcPr>
            <w:tcW w:w="1026" w:type="dxa"/>
            <w:tcBorders>
              <w:top w:val="nil"/>
              <w:left w:val="nil"/>
              <w:bottom w:val="single" w:sz="4" w:space="0" w:color="auto"/>
              <w:right w:val="single" w:sz="4" w:space="0" w:color="auto"/>
            </w:tcBorders>
            <w:noWrap/>
            <w:vAlign w:val="bottom"/>
            <w:hideMark/>
          </w:tcPr>
          <w:p w14:paraId="105EBA0E" w14:textId="0E2FA113"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D146528" w14:textId="50C06CB3"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279809B" w14:textId="5E30AEF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7A478250" w14:textId="6651CFA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3F755B75" w14:textId="77777777" w:rsidTr="4FDE0A4D">
        <w:trPr>
          <w:trHeight w:val="280"/>
        </w:trPr>
        <w:tc>
          <w:tcPr>
            <w:tcW w:w="118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14B7ABB" w14:textId="74F4046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1,668</w:t>
            </w:r>
          </w:p>
        </w:tc>
        <w:tc>
          <w:tcPr>
            <w:tcW w:w="397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77B04015"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Expenditure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3F97520D" w14:textId="35B10083"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2,648</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B339045" w14:textId="7444F82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2,295</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4326ED8" w14:textId="3427CC4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2,343</w:t>
            </w:r>
          </w:p>
        </w:tc>
        <w:tc>
          <w:tcPr>
            <w:tcW w:w="1155"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4DD3551F" w14:textId="7E8178E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2,393</w:t>
            </w:r>
          </w:p>
        </w:tc>
      </w:tr>
      <w:tr w:rsidR="00CD6EE7" w:rsidRPr="008D21C4" w14:paraId="506D344E" w14:textId="77777777" w:rsidTr="4FDE0A4D">
        <w:trPr>
          <w:trHeight w:val="270"/>
        </w:trPr>
        <w:tc>
          <w:tcPr>
            <w:tcW w:w="1185" w:type="dxa"/>
            <w:tcBorders>
              <w:top w:val="single" w:sz="4" w:space="0" w:color="auto"/>
              <w:left w:val="single" w:sz="12" w:space="0" w:color="auto"/>
              <w:bottom w:val="single" w:sz="4" w:space="0" w:color="auto"/>
              <w:right w:val="single" w:sz="4" w:space="0" w:color="auto"/>
            </w:tcBorders>
            <w:noWrap/>
            <w:vAlign w:val="bottom"/>
            <w:hideMark/>
          </w:tcPr>
          <w:p w14:paraId="14425F23" w14:textId="1585CB4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51488E1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Charges</w:t>
            </w:r>
          </w:p>
        </w:tc>
        <w:tc>
          <w:tcPr>
            <w:tcW w:w="1026" w:type="dxa"/>
            <w:tcBorders>
              <w:top w:val="single" w:sz="4" w:space="0" w:color="auto"/>
              <w:left w:val="nil"/>
              <w:bottom w:val="single" w:sz="4" w:space="0" w:color="auto"/>
              <w:right w:val="single" w:sz="4" w:space="0" w:color="auto"/>
            </w:tcBorders>
            <w:noWrap/>
            <w:vAlign w:val="bottom"/>
            <w:hideMark/>
          </w:tcPr>
          <w:p w14:paraId="677EFF89" w14:textId="5AC48709"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0E1E110D" w14:textId="30E5263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280D0E0" w14:textId="054868E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single" w:sz="4" w:space="0" w:color="auto"/>
              <w:left w:val="single" w:sz="12" w:space="0" w:color="auto"/>
              <w:bottom w:val="single" w:sz="4" w:space="0" w:color="auto"/>
              <w:right w:val="single" w:sz="12" w:space="0" w:color="auto"/>
            </w:tcBorders>
            <w:noWrap/>
            <w:vAlign w:val="bottom"/>
            <w:hideMark/>
          </w:tcPr>
          <w:p w14:paraId="12DA0136" w14:textId="6F9F75C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2DCBCDC6"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087C7D50" w14:textId="2EA5086D"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2AE02BE6"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Grant</w:t>
            </w:r>
          </w:p>
        </w:tc>
        <w:tc>
          <w:tcPr>
            <w:tcW w:w="1026" w:type="dxa"/>
            <w:tcBorders>
              <w:top w:val="nil"/>
              <w:left w:val="nil"/>
              <w:bottom w:val="single" w:sz="4" w:space="0" w:color="auto"/>
              <w:right w:val="single" w:sz="4" w:space="0" w:color="auto"/>
            </w:tcBorders>
            <w:noWrap/>
            <w:vAlign w:val="bottom"/>
            <w:hideMark/>
          </w:tcPr>
          <w:p w14:paraId="7500D51E" w14:textId="45EE481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BFCD370" w14:textId="7E4DA10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D484D1F" w14:textId="6B5D94E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09C38B83" w14:textId="2BDD684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2918CB80"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7EA1ECB5" w14:textId="1849904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2502DC68"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Recharges</w:t>
            </w:r>
          </w:p>
        </w:tc>
        <w:tc>
          <w:tcPr>
            <w:tcW w:w="1026" w:type="dxa"/>
            <w:tcBorders>
              <w:top w:val="nil"/>
              <w:left w:val="nil"/>
              <w:bottom w:val="single" w:sz="4" w:space="0" w:color="auto"/>
              <w:right w:val="single" w:sz="4" w:space="0" w:color="auto"/>
            </w:tcBorders>
            <w:noWrap/>
            <w:vAlign w:val="bottom"/>
            <w:hideMark/>
          </w:tcPr>
          <w:p w14:paraId="79CE56F9" w14:textId="7A9A482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BEB7C73" w14:textId="7DFD38E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4123A7F" w14:textId="371074F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1A5AD136" w14:textId="4E085F2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2EA2A276"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3743C0E5" w14:textId="73615C3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3D4BF166"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CSR</w:t>
            </w:r>
          </w:p>
        </w:tc>
        <w:tc>
          <w:tcPr>
            <w:tcW w:w="1026" w:type="dxa"/>
            <w:tcBorders>
              <w:top w:val="nil"/>
              <w:left w:val="nil"/>
              <w:bottom w:val="single" w:sz="4" w:space="0" w:color="auto"/>
              <w:right w:val="single" w:sz="4" w:space="0" w:color="auto"/>
            </w:tcBorders>
            <w:noWrap/>
            <w:vAlign w:val="bottom"/>
            <w:hideMark/>
          </w:tcPr>
          <w:p w14:paraId="2578B896" w14:textId="3237341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(2,773)</w:t>
            </w:r>
          </w:p>
        </w:tc>
        <w:tc>
          <w:tcPr>
            <w:tcW w:w="1172" w:type="dxa"/>
            <w:tcBorders>
              <w:top w:val="nil"/>
              <w:left w:val="single" w:sz="12" w:space="0" w:color="auto"/>
              <w:bottom w:val="single" w:sz="4" w:space="0" w:color="auto"/>
              <w:right w:val="single" w:sz="4" w:space="0" w:color="auto"/>
            </w:tcBorders>
            <w:noWrap/>
            <w:vAlign w:val="bottom"/>
            <w:hideMark/>
          </w:tcPr>
          <w:p w14:paraId="234E26DD" w14:textId="0AD6E0F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(2,420)</w:t>
            </w:r>
          </w:p>
        </w:tc>
        <w:tc>
          <w:tcPr>
            <w:tcW w:w="1172" w:type="dxa"/>
            <w:tcBorders>
              <w:top w:val="nil"/>
              <w:left w:val="single" w:sz="12" w:space="0" w:color="auto"/>
              <w:bottom w:val="single" w:sz="4" w:space="0" w:color="auto"/>
              <w:right w:val="single" w:sz="4" w:space="0" w:color="auto"/>
            </w:tcBorders>
            <w:noWrap/>
            <w:vAlign w:val="bottom"/>
            <w:hideMark/>
          </w:tcPr>
          <w:p w14:paraId="0835B3FF" w14:textId="7080AEC1"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(2,469)</w:t>
            </w:r>
          </w:p>
        </w:tc>
        <w:tc>
          <w:tcPr>
            <w:tcW w:w="1155" w:type="dxa"/>
            <w:tcBorders>
              <w:top w:val="nil"/>
              <w:left w:val="single" w:sz="12" w:space="0" w:color="auto"/>
              <w:bottom w:val="single" w:sz="4" w:space="0" w:color="auto"/>
              <w:right w:val="single" w:sz="12" w:space="0" w:color="auto"/>
            </w:tcBorders>
            <w:noWrap/>
            <w:vAlign w:val="bottom"/>
            <w:hideMark/>
          </w:tcPr>
          <w:p w14:paraId="0F46EA99" w14:textId="13BD1236"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(2,518)</w:t>
            </w:r>
          </w:p>
        </w:tc>
      </w:tr>
      <w:tr w:rsidR="00CD6EE7" w:rsidRPr="008D21C4" w14:paraId="739BC740"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303F4928" w14:textId="572F49D4"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06E65788"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Summary</w:t>
            </w:r>
          </w:p>
        </w:tc>
        <w:tc>
          <w:tcPr>
            <w:tcW w:w="1026" w:type="dxa"/>
            <w:tcBorders>
              <w:top w:val="nil"/>
              <w:left w:val="nil"/>
              <w:bottom w:val="single" w:sz="4" w:space="0" w:color="auto"/>
              <w:right w:val="single" w:sz="4" w:space="0" w:color="auto"/>
            </w:tcBorders>
            <w:noWrap/>
            <w:vAlign w:val="bottom"/>
            <w:hideMark/>
          </w:tcPr>
          <w:p w14:paraId="4DB8A145" w14:textId="57704AE7"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(300)</w:t>
            </w:r>
          </w:p>
        </w:tc>
        <w:tc>
          <w:tcPr>
            <w:tcW w:w="1172" w:type="dxa"/>
            <w:tcBorders>
              <w:top w:val="nil"/>
              <w:left w:val="single" w:sz="12" w:space="0" w:color="auto"/>
              <w:bottom w:val="single" w:sz="4" w:space="0" w:color="auto"/>
              <w:right w:val="single" w:sz="4" w:space="0" w:color="auto"/>
            </w:tcBorders>
            <w:noWrap/>
            <w:vAlign w:val="bottom"/>
            <w:hideMark/>
          </w:tcPr>
          <w:p w14:paraId="3F0FBBFE" w14:textId="09F65CF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(300)</w:t>
            </w:r>
          </w:p>
        </w:tc>
        <w:tc>
          <w:tcPr>
            <w:tcW w:w="1172" w:type="dxa"/>
            <w:tcBorders>
              <w:top w:val="nil"/>
              <w:left w:val="single" w:sz="12" w:space="0" w:color="auto"/>
              <w:bottom w:val="single" w:sz="4" w:space="0" w:color="auto"/>
              <w:right w:val="single" w:sz="4" w:space="0" w:color="auto"/>
            </w:tcBorders>
            <w:noWrap/>
            <w:vAlign w:val="bottom"/>
            <w:hideMark/>
          </w:tcPr>
          <w:p w14:paraId="59ABD6A3" w14:textId="4B59D396"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(300)</w:t>
            </w:r>
          </w:p>
        </w:tc>
        <w:tc>
          <w:tcPr>
            <w:tcW w:w="1155" w:type="dxa"/>
            <w:tcBorders>
              <w:top w:val="nil"/>
              <w:left w:val="single" w:sz="12" w:space="0" w:color="auto"/>
              <w:bottom w:val="single" w:sz="4" w:space="0" w:color="auto"/>
              <w:right w:val="single" w:sz="12" w:space="0" w:color="auto"/>
            </w:tcBorders>
            <w:noWrap/>
            <w:vAlign w:val="bottom"/>
            <w:hideMark/>
          </w:tcPr>
          <w:p w14:paraId="3056237A" w14:textId="5017097E"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(300)</w:t>
            </w:r>
          </w:p>
        </w:tc>
      </w:tr>
      <w:tr w:rsidR="00CD6EE7" w:rsidRPr="008D21C4" w14:paraId="4800770E"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3A37CA7A" w14:textId="7200C3F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095F7746"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Bank Interest</w:t>
            </w:r>
          </w:p>
        </w:tc>
        <w:tc>
          <w:tcPr>
            <w:tcW w:w="1026" w:type="dxa"/>
            <w:tcBorders>
              <w:top w:val="nil"/>
              <w:left w:val="nil"/>
              <w:bottom w:val="single" w:sz="4" w:space="0" w:color="auto"/>
              <w:right w:val="single" w:sz="4" w:space="0" w:color="auto"/>
            </w:tcBorders>
            <w:noWrap/>
            <w:vAlign w:val="bottom"/>
            <w:hideMark/>
          </w:tcPr>
          <w:p w14:paraId="2E6F80D0" w14:textId="4620A55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6AD70E0" w14:textId="04790BFD"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6CFF586" w14:textId="38D7491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330AFFB4" w14:textId="1F8E8A2E"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0D2F572F" w14:textId="77777777" w:rsidTr="4FDE0A4D">
        <w:trPr>
          <w:trHeight w:val="260"/>
        </w:trPr>
        <w:tc>
          <w:tcPr>
            <w:tcW w:w="1185" w:type="dxa"/>
            <w:tcBorders>
              <w:top w:val="nil"/>
              <w:left w:val="single" w:sz="12" w:space="0" w:color="auto"/>
              <w:bottom w:val="single" w:sz="4" w:space="0" w:color="auto"/>
              <w:right w:val="single" w:sz="4" w:space="0" w:color="auto"/>
            </w:tcBorders>
            <w:noWrap/>
            <w:vAlign w:val="bottom"/>
            <w:hideMark/>
          </w:tcPr>
          <w:p w14:paraId="54E425AF" w14:textId="75D91365"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4F867CFF" w14:textId="3E349124" w:rsidR="00CD6EE7" w:rsidRPr="008D21C4" w:rsidRDefault="00866ED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Inter</w:t>
            </w:r>
            <w:r w:rsidR="00F157CC" w:rsidRPr="008D21C4">
              <w:rPr>
                <w:rFonts w:eastAsia="Times New Roman" w:cs="Times New Roman"/>
                <w:b/>
                <w:bCs/>
                <w:color w:val="000000"/>
                <w:kern w:val="0"/>
                <w:sz w:val="20"/>
                <w:szCs w:val="20"/>
                <w:lang w:eastAsia="en-GB"/>
                <w14:ligatures w14:val="none"/>
              </w:rPr>
              <w:t>e</w:t>
            </w:r>
            <w:r w:rsidRPr="008D21C4">
              <w:rPr>
                <w:rFonts w:eastAsia="Times New Roman" w:cs="Times New Roman"/>
                <w:b/>
                <w:bCs/>
                <w:color w:val="000000"/>
                <w:kern w:val="0"/>
                <w:sz w:val="20"/>
                <w:szCs w:val="20"/>
                <w:lang w:eastAsia="en-GB"/>
                <w14:ligatures w14:val="none"/>
              </w:rPr>
              <w:t>st</w:t>
            </w:r>
            <w:r w:rsidR="00CD6EE7" w:rsidRPr="008D21C4">
              <w:rPr>
                <w:rFonts w:eastAsia="Times New Roman" w:cs="Times New Roman"/>
                <w:b/>
                <w:bCs/>
                <w:color w:val="000000"/>
                <w:kern w:val="0"/>
                <w:sz w:val="20"/>
                <w:szCs w:val="20"/>
                <w:lang w:eastAsia="en-GB"/>
                <w14:ligatures w14:val="none"/>
              </w:rPr>
              <w:t xml:space="preserve"> From Investments</w:t>
            </w:r>
          </w:p>
        </w:tc>
        <w:tc>
          <w:tcPr>
            <w:tcW w:w="1026" w:type="dxa"/>
            <w:tcBorders>
              <w:top w:val="nil"/>
              <w:left w:val="nil"/>
              <w:bottom w:val="single" w:sz="4" w:space="0" w:color="auto"/>
              <w:right w:val="single" w:sz="4" w:space="0" w:color="auto"/>
            </w:tcBorders>
            <w:noWrap/>
            <w:vAlign w:val="bottom"/>
            <w:hideMark/>
          </w:tcPr>
          <w:p w14:paraId="757614FB" w14:textId="5D1D598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E0FD2ED" w14:textId="580A4A5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01B9DBF" w14:textId="3320816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4E7F8572" w14:textId="2A6FBB5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290EDF82" w14:textId="77777777" w:rsidTr="4FDE0A4D">
        <w:trPr>
          <w:trHeight w:val="270"/>
        </w:trPr>
        <w:tc>
          <w:tcPr>
            <w:tcW w:w="1185" w:type="dxa"/>
            <w:tcBorders>
              <w:top w:val="nil"/>
              <w:left w:val="single" w:sz="12" w:space="0" w:color="auto"/>
              <w:bottom w:val="single" w:sz="4" w:space="0" w:color="auto"/>
              <w:right w:val="single" w:sz="4" w:space="0" w:color="auto"/>
            </w:tcBorders>
            <w:noWrap/>
            <w:vAlign w:val="bottom"/>
            <w:hideMark/>
          </w:tcPr>
          <w:p w14:paraId="6C3067B6" w14:textId="696257FD"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18078F74"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Rents</w:t>
            </w:r>
          </w:p>
        </w:tc>
        <w:tc>
          <w:tcPr>
            <w:tcW w:w="1026" w:type="dxa"/>
            <w:tcBorders>
              <w:top w:val="nil"/>
              <w:left w:val="nil"/>
              <w:bottom w:val="single" w:sz="4" w:space="0" w:color="auto"/>
              <w:right w:val="single" w:sz="4" w:space="0" w:color="auto"/>
            </w:tcBorders>
            <w:noWrap/>
            <w:vAlign w:val="bottom"/>
            <w:hideMark/>
          </w:tcPr>
          <w:p w14:paraId="751722FD" w14:textId="2A952A42"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3A6398D" w14:textId="2ECAE30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AFA9097" w14:textId="465833D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2989DDCE" w14:textId="3ECD1C62"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1F8A18B4" w14:textId="77777777" w:rsidTr="4FDE0A4D">
        <w:trPr>
          <w:trHeight w:val="280"/>
        </w:trPr>
        <w:tc>
          <w:tcPr>
            <w:tcW w:w="118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AA1567E" w14:textId="410F370E"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A7FF890"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Income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7A6F8F84" w14:textId="5DC6A627"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(3,073)</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4E1A7AD" w14:textId="28E11C1B"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(2,720)</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FEA60E6" w14:textId="5F000DE6"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(2,769)</w:t>
            </w:r>
          </w:p>
        </w:tc>
        <w:tc>
          <w:tcPr>
            <w:tcW w:w="1155"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D945B94" w14:textId="20222572"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(2,818)</w:t>
            </w:r>
          </w:p>
        </w:tc>
      </w:tr>
      <w:tr w:rsidR="005A0712" w:rsidRPr="008D21C4" w14:paraId="7CB34F77" w14:textId="77777777" w:rsidTr="4FDE0A4D">
        <w:trPr>
          <w:trHeight w:val="280"/>
        </w:trPr>
        <w:tc>
          <w:tcPr>
            <w:tcW w:w="1185" w:type="dxa"/>
            <w:tcBorders>
              <w:top w:val="nil"/>
              <w:left w:val="single" w:sz="12" w:space="0" w:color="auto"/>
              <w:bottom w:val="single" w:sz="12" w:space="0" w:color="auto"/>
              <w:right w:val="single" w:sz="4" w:space="0" w:color="auto"/>
            </w:tcBorders>
            <w:shd w:val="clear" w:color="auto" w:fill="E8E8E8"/>
            <w:noWrap/>
            <w:vAlign w:val="bottom"/>
            <w:hideMark/>
          </w:tcPr>
          <w:p w14:paraId="0FE2865D" w14:textId="3E22C03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1,668</w:t>
            </w:r>
          </w:p>
        </w:tc>
        <w:tc>
          <w:tcPr>
            <w:tcW w:w="3976" w:type="dxa"/>
            <w:tcBorders>
              <w:top w:val="nil"/>
              <w:left w:val="single" w:sz="12" w:space="0" w:color="auto"/>
              <w:bottom w:val="single" w:sz="12" w:space="0" w:color="auto"/>
              <w:right w:val="single" w:sz="12" w:space="0" w:color="auto"/>
            </w:tcBorders>
            <w:shd w:val="clear" w:color="auto" w:fill="E8E8E8"/>
            <w:noWrap/>
            <w:vAlign w:val="bottom"/>
            <w:hideMark/>
          </w:tcPr>
          <w:p w14:paraId="00495084"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(Income)</w:t>
            </w:r>
          </w:p>
        </w:tc>
        <w:tc>
          <w:tcPr>
            <w:tcW w:w="1026" w:type="dxa"/>
            <w:tcBorders>
              <w:top w:val="nil"/>
              <w:left w:val="nil"/>
              <w:bottom w:val="single" w:sz="12" w:space="0" w:color="auto"/>
              <w:right w:val="single" w:sz="4" w:space="0" w:color="auto"/>
            </w:tcBorders>
            <w:shd w:val="clear" w:color="auto" w:fill="E8E8E8"/>
            <w:noWrap/>
            <w:vAlign w:val="bottom"/>
            <w:hideMark/>
          </w:tcPr>
          <w:p w14:paraId="17A28A4F" w14:textId="590347AD"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(425)</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51A0AE93" w14:textId="6DE199B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(425)</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1C561640" w14:textId="02D270C7"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(425)</w:t>
            </w:r>
          </w:p>
        </w:tc>
        <w:tc>
          <w:tcPr>
            <w:tcW w:w="1155" w:type="dxa"/>
            <w:tcBorders>
              <w:top w:val="nil"/>
              <w:left w:val="single" w:sz="12" w:space="0" w:color="auto"/>
              <w:bottom w:val="single" w:sz="12" w:space="0" w:color="auto"/>
              <w:right w:val="single" w:sz="12" w:space="0" w:color="auto"/>
            </w:tcBorders>
            <w:shd w:val="clear" w:color="auto" w:fill="E8E8E8"/>
            <w:noWrap/>
            <w:vAlign w:val="bottom"/>
            <w:hideMark/>
          </w:tcPr>
          <w:p w14:paraId="2DA060EE" w14:textId="5E3D2270"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(425)</w:t>
            </w:r>
          </w:p>
        </w:tc>
      </w:tr>
      <w:tr w:rsidR="00CD6EE7" w:rsidRPr="008D21C4" w14:paraId="69156219" w14:textId="77777777" w:rsidTr="4FDE0A4D">
        <w:trPr>
          <w:trHeight w:val="270"/>
        </w:trPr>
        <w:tc>
          <w:tcPr>
            <w:tcW w:w="1185" w:type="dxa"/>
            <w:tcBorders>
              <w:top w:val="single" w:sz="4" w:space="0" w:color="auto"/>
              <w:left w:val="single" w:sz="12" w:space="0" w:color="auto"/>
              <w:bottom w:val="single" w:sz="4" w:space="0" w:color="auto"/>
              <w:right w:val="single" w:sz="4" w:space="0" w:color="auto"/>
            </w:tcBorders>
            <w:noWrap/>
            <w:vAlign w:val="bottom"/>
            <w:hideMark/>
          </w:tcPr>
          <w:p w14:paraId="05FC939A" w14:textId="5ADD0C5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45B728BA"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from Reserves</w:t>
            </w:r>
          </w:p>
        </w:tc>
        <w:tc>
          <w:tcPr>
            <w:tcW w:w="1026" w:type="dxa"/>
            <w:tcBorders>
              <w:top w:val="single" w:sz="4" w:space="0" w:color="auto"/>
              <w:left w:val="nil"/>
              <w:bottom w:val="single" w:sz="4" w:space="0" w:color="auto"/>
              <w:right w:val="single" w:sz="4" w:space="0" w:color="auto"/>
            </w:tcBorders>
            <w:noWrap/>
            <w:vAlign w:val="bottom"/>
            <w:hideMark/>
          </w:tcPr>
          <w:p w14:paraId="1EA240BD" w14:textId="360601A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519A4BFB" w14:textId="4092938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2761B44D" w14:textId="0107BB04"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single" w:sz="4" w:space="0" w:color="auto"/>
              <w:left w:val="single" w:sz="12" w:space="0" w:color="auto"/>
              <w:bottom w:val="single" w:sz="4" w:space="0" w:color="auto"/>
              <w:right w:val="single" w:sz="12" w:space="0" w:color="auto"/>
            </w:tcBorders>
            <w:noWrap/>
            <w:vAlign w:val="bottom"/>
            <w:hideMark/>
          </w:tcPr>
          <w:p w14:paraId="6A4EB8D3" w14:textId="6C8BC5A9"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60EA66AB" w14:textId="77777777" w:rsidTr="4FDE0A4D">
        <w:trPr>
          <w:trHeight w:val="270"/>
        </w:trPr>
        <w:tc>
          <w:tcPr>
            <w:tcW w:w="1185" w:type="dxa"/>
            <w:tcBorders>
              <w:top w:val="nil"/>
              <w:left w:val="single" w:sz="12" w:space="0" w:color="auto"/>
              <w:bottom w:val="single" w:sz="4" w:space="0" w:color="auto"/>
              <w:right w:val="single" w:sz="4" w:space="0" w:color="auto"/>
            </w:tcBorders>
            <w:noWrap/>
            <w:vAlign w:val="bottom"/>
            <w:hideMark/>
          </w:tcPr>
          <w:p w14:paraId="7461450D" w14:textId="0327611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76" w:type="dxa"/>
            <w:tcBorders>
              <w:top w:val="nil"/>
              <w:left w:val="single" w:sz="12" w:space="0" w:color="auto"/>
              <w:bottom w:val="single" w:sz="4" w:space="0" w:color="auto"/>
              <w:right w:val="single" w:sz="12" w:space="0" w:color="auto"/>
            </w:tcBorders>
            <w:shd w:val="clear" w:color="auto" w:fill="E8E8E8"/>
            <w:vAlign w:val="bottom"/>
            <w:hideMark/>
          </w:tcPr>
          <w:p w14:paraId="52A2FA1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To Reserves</w:t>
            </w:r>
          </w:p>
        </w:tc>
        <w:tc>
          <w:tcPr>
            <w:tcW w:w="1026" w:type="dxa"/>
            <w:tcBorders>
              <w:top w:val="nil"/>
              <w:left w:val="nil"/>
              <w:bottom w:val="single" w:sz="4" w:space="0" w:color="auto"/>
              <w:right w:val="single" w:sz="4" w:space="0" w:color="auto"/>
            </w:tcBorders>
            <w:noWrap/>
            <w:vAlign w:val="bottom"/>
            <w:hideMark/>
          </w:tcPr>
          <w:p w14:paraId="5161DDB6" w14:textId="37E6C88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2836B48" w14:textId="3F3B1322"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6B76CAA" w14:textId="6ED751C9"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55" w:type="dxa"/>
            <w:tcBorders>
              <w:top w:val="nil"/>
              <w:left w:val="single" w:sz="12" w:space="0" w:color="auto"/>
              <w:bottom w:val="single" w:sz="4" w:space="0" w:color="auto"/>
              <w:right w:val="single" w:sz="12" w:space="0" w:color="auto"/>
            </w:tcBorders>
            <w:noWrap/>
            <w:vAlign w:val="bottom"/>
            <w:hideMark/>
          </w:tcPr>
          <w:p w14:paraId="75D0A8D8" w14:textId="1683764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18127C3" w14:textId="77777777" w:rsidTr="4FDE0A4D">
        <w:trPr>
          <w:trHeight w:val="280"/>
        </w:trPr>
        <w:tc>
          <w:tcPr>
            <w:tcW w:w="118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B71A63C" w14:textId="3CD7196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1,668</w:t>
            </w:r>
          </w:p>
        </w:tc>
        <w:tc>
          <w:tcPr>
            <w:tcW w:w="397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720305CA" w14:textId="43C58B99"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after Contribution to/(From) Reserves</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790206D9" w14:textId="4C5DAE0D"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(425)</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DCDA565" w14:textId="40EB194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(425)</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54F098E" w14:textId="163518CD"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(425)</w:t>
            </w:r>
          </w:p>
        </w:tc>
        <w:tc>
          <w:tcPr>
            <w:tcW w:w="1155"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42E5BB6" w14:textId="0E0534D0"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(425)</w:t>
            </w:r>
          </w:p>
        </w:tc>
      </w:tr>
    </w:tbl>
    <w:p w14:paraId="3BC93256" w14:textId="77777777" w:rsidR="001716C7" w:rsidRDefault="001716C7">
      <w:r>
        <w:br w:type="page"/>
      </w:r>
    </w:p>
    <w:tbl>
      <w:tblPr>
        <w:tblW w:w="9764" w:type="dxa"/>
        <w:tblLook w:val="04A0" w:firstRow="1" w:lastRow="0" w:firstColumn="1" w:lastColumn="0" w:noHBand="0" w:noVBand="1"/>
      </w:tblPr>
      <w:tblGrid>
        <w:gridCol w:w="1140"/>
        <w:gridCol w:w="4021"/>
        <w:gridCol w:w="1134"/>
        <w:gridCol w:w="1172"/>
        <w:gridCol w:w="1172"/>
        <w:gridCol w:w="1125"/>
      </w:tblGrid>
      <w:tr w:rsidR="00CD6EE7" w:rsidRPr="008D21C4" w14:paraId="1DF95DD2" w14:textId="77777777" w:rsidTr="7DC21327">
        <w:trPr>
          <w:trHeight w:val="280"/>
        </w:trPr>
        <w:tc>
          <w:tcPr>
            <w:tcW w:w="1140" w:type="dxa"/>
            <w:tcBorders>
              <w:top w:val="nil"/>
              <w:left w:val="nil"/>
              <w:bottom w:val="nil"/>
              <w:right w:val="nil"/>
            </w:tcBorders>
            <w:noWrap/>
            <w:vAlign w:val="bottom"/>
            <w:hideMark/>
          </w:tcPr>
          <w:p w14:paraId="02DF4B18" w14:textId="11170937" w:rsidR="00CD6EE7" w:rsidRPr="008D21C4" w:rsidRDefault="00CD6EE7" w:rsidP="00CD6EE7">
            <w:pPr>
              <w:jc w:val="right"/>
              <w:rPr>
                <w:rFonts w:eastAsia="Times New Roman" w:cs="Times New Roman"/>
                <w:b/>
                <w:bCs/>
                <w:color w:val="000000"/>
                <w:kern w:val="0"/>
                <w:sz w:val="20"/>
                <w:szCs w:val="20"/>
                <w:lang w:eastAsia="en-GB"/>
                <w14:ligatures w14:val="none"/>
              </w:rPr>
            </w:pPr>
          </w:p>
        </w:tc>
        <w:tc>
          <w:tcPr>
            <w:tcW w:w="4021" w:type="dxa"/>
            <w:tcBorders>
              <w:top w:val="nil"/>
              <w:left w:val="nil"/>
              <w:bottom w:val="nil"/>
              <w:right w:val="nil"/>
            </w:tcBorders>
            <w:noWrap/>
            <w:vAlign w:val="bottom"/>
            <w:hideMark/>
          </w:tcPr>
          <w:p w14:paraId="4B5096E2"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34" w:type="dxa"/>
            <w:tcBorders>
              <w:top w:val="nil"/>
              <w:left w:val="nil"/>
              <w:bottom w:val="nil"/>
              <w:right w:val="nil"/>
            </w:tcBorders>
            <w:noWrap/>
            <w:vAlign w:val="bottom"/>
            <w:hideMark/>
          </w:tcPr>
          <w:p w14:paraId="6DB93AA9"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760C5F13"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53A85B81"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25" w:type="dxa"/>
            <w:tcBorders>
              <w:top w:val="nil"/>
              <w:left w:val="nil"/>
              <w:bottom w:val="nil"/>
              <w:right w:val="nil"/>
            </w:tcBorders>
            <w:noWrap/>
            <w:vAlign w:val="bottom"/>
            <w:hideMark/>
          </w:tcPr>
          <w:p w14:paraId="7CCB4A96"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r>
      <w:tr w:rsidR="001716C7" w:rsidRPr="008D21C4" w14:paraId="6E9E4627" w14:textId="77777777" w:rsidTr="7DC21327">
        <w:trPr>
          <w:trHeight w:val="270"/>
        </w:trPr>
        <w:tc>
          <w:tcPr>
            <w:tcW w:w="1140" w:type="dxa"/>
            <w:tcBorders>
              <w:top w:val="single" w:sz="12" w:space="0" w:color="auto"/>
              <w:left w:val="single" w:sz="12" w:space="0" w:color="auto"/>
              <w:bottom w:val="nil"/>
              <w:right w:val="single" w:sz="4" w:space="0" w:color="auto"/>
            </w:tcBorders>
            <w:shd w:val="clear" w:color="auto" w:fill="E8E8E8"/>
            <w:hideMark/>
          </w:tcPr>
          <w:p w14:paraId="0291088D" w14:textId="0A98A4DB"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025/26</w:t>
            </w:r>
          </w:p>
        </w:tc>
        <w:tc>
          <w:tcPr>
            <w:tcW w:w="4021" w:type="dxa"/>
            <w:tcBorders>
              <w:top w:val="single" w:sz="12" w:space="0" w:color="auto"/>
              <w:left w:val="single" w:sz="12" w:space="0" w:color="auto"/>
              <w:bottom w:val="nil"/>
              <w:right w:val="single" w:sz="12" w:space="0" w:color="auto"/>
            </w:tcBorders>
            <w:shd w:val="clear" w:color="auto" w:fill="E8E8E8"/>
            <w:noWrap/>
            <w:vAlign w:val="bottom"/>
            <w:hideMark/>
          </w:tcPr>
          <w:p w14:paraId="1101B2B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Infrastructure</w:t>
            </w:r>
          </w:p>
        </w:tc>
        <w:tc>
          <w:tcPr>
            <w:tcW w:w="1134" w:type="dxa"/>
            <w:tcBorders>
              <w:top w:val="single" w:sz="12" w:space="0" w:color="auto"/>
              <w:left w:val="nil"/>
              <w:bottom w:val="nil"/>
              <w:right w:val="single" w:sz="12" w:space="0" w:color="auto"/>
            </w:tcBorders>
            <w:shd w:val="clear" w:color="auto" w:fill="E8E8E8"/>
            <w:hideMark/>
          </w:tcPr>
          <w:p w14:paraId="0932A1E8" w14:textId="1C6D327E"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026/27</w:t>
            </w:r>
          </w:p>
        </w:tc>
        <w:tc>
          <w:tcPr>
            <w:tcW w:w="1172" w:type="dxa"/>
            <w:tcBorders>
              <w:top w:val="single" w:sz="12" w:space="0" w:color="auto"/>
              <w:left w:val="nil"/>
              <w:bottom w:val="nil"/>
              <w:right w:val="single" w:sz="12" w:space="0" w:color="auto"/>
            </w:tcBorders>
            <w:shd w:val="clear" w:color="auto" w:fill="E8E8E8"/>
            <w:hideMark/>
          </w:tcPr>
          <w:p w14:paraId="7679EFF5" w14:textId="680555DD"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027/28</w:t>
            </w:r>
          </w:p>
        </w:tc>
        <w:tc>
          <w:tcPr>
            <w:tcW w:w="1172" w:type="dxa"/>
            <w:tcBorders>
              <w:top w:val="single" w:sz="12" w:space="0" w:color="auto"/>
              <w:left w:val="nil"/>
              <w:bottom w:val="nil"/>
              <w:right w:val="single" w:sz="12" w:space="0" w:color="auto"/>
            </w:tcBorders>
            <w:shd w:val="clear" w:color="auto" w:fill="E8E8E8"/>
            <w:hideMark/>
          </w:tcPr>
          <w:p w14:paraId="3EF7906D" w14:textId="5503EC9B"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028/29</w:t>
            </w:r>
          </w:p>
        </w:tc>
        <w:tc>
          <w:tcPr>
            <w:tcW w:w="1125" w:type="dxa"/>
            <w:tcBorders>
              <w:top w:val="single" w:sz="12" w:space="0" w:color="auto"/>
              <w:left w:val="nil"/>
              <w:bottom w:val="nil"/>
              <w:right w:val="single" w:sz="12" w:space="0" w:color="auto"/>
            </w:tcBorders>
            <w:shd w:val="clear" w:color="auto" w:fill="E8E8E8"/>
            <w:hideMark/>
          </w:tcPr>
          <w:p w14:paraId="3A6C7A58" w14:textId="3214604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Budget</w:t>
            </w:r>
            <w:r w:rsidR="005A0712">
              <w:rPr>
                <w:rFonts w:eastAsia="Times New Roman" w:cs="Times New Roman"/>
                <w:b/>
                <w:bCs/>
                <w:color w:val="000000"/>
                <w:kern w:val="0"/>
                <w:sz w:val="20"/>
                <w:szCs w:val="20"/>
                <w:lang w:eastAsia="en-GB"/>
                <w14:ligatures w14:val="none"/>
              </w:rPr>
              <w:t xml:space="preserve"> </w:t>
            </w:r>
            <w:r w:rsidRPr="008D21C4">
              <w:rPr>
                <w:rFonts w:eastAsia="Times New Roman" w:cs="Times New Roman"/>
                <w:b/>
                <w:bCs/>
                <w:color w:val="000000"/>
                <w:kern w:val="0"/>
                <w:sz w:val="20"/>
                <w:szCs w:val="20"/>
                <w:lang w:eastAsia="en-GB"/>
                <w14:ligatures w14:val="none"/>
              </w:rPr>
              <w:t>2029/30</w:t>
            </w:r>
          </w:p>
        </w:tc>
      </w:tr>
      <w:tr w:rsidR="001716C7" w:rsidRPr="008D21C4" w14:paraId="6576A284" w14:textId="77777777" w:rsidTr="7DC21327">
        <w:trPr>
          <w:trHeight w:val="270"/>
        </w:trPr>
        <w:tc>
          <w:tcPr>
            <w:tcW w:w="1140" w:type="dxa"/>
            <w:tcBorders>
              <w:top w:val="nil"/>
              <w:left w:val="single" w:sz="12" w:space="0" w:color="auto"/>
              <w:bottom w:val="single" w:sz="12" w:space="0" w:color="auto"/>
              <w:right w:val="single" w:sz="4" w:space="0" w:color="auto"/>
            </w:tcBorders>
            <w:shd w:val="clear" w:color="auto" w:fill="E8E8E8"/>
            <w:noWrap/>
            <w:vAlign w:val="bottom"/>
            <w:hideMark/>
          </w:tcPr>
          <w:p w14:paraId="48F62B3F"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4021" w:type="dxa"/>
            <w:tcBorders>
              <w:top w:val="nil"/>
              <w:left w:val="single" w:sz="12" w:space="0" w:color="auto"/>
              <w:bottom w:val="single" w:sz="12" w:space="0" w:color="auto"/>
              <w:right w:val="single" w:sz="12" w:space="0" w:color="auto"/>
            </w:tcBorders>
            <w:shd w:val="clear" w:color="auto" w:fill="E8E8E8"/>
            <w:noWrap/>
            <w:vAlign w:val="bottom"/>
            <w:hideMark/>
          </w:tcPr>
          <w:p w14:paraId="26E5EB14"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Type of Expenditure / Income </w:t>
            </w:r>
          </w:p>
        </w:tc>
        <w:tc>
          <w:tcPr>
            <w:tcW w:w="1134" w:type="dxa"/>
            <w:tcBorders>
              <w:top w:val="nil"/>
              <w:left w:val="nil"/>
              <w:bottom w:val="single" w:sz="12" w:space="0" w:color="auto"/>
              <w:right w:val="single" w:sz="12" w:space="0" w:color="auto"/>
            </w:tcBorders>
            <w:shd w:val="clear" w:color="auto" w:fill="E8E8E8"/>
            <w:noWrap/>
            <w:vAlign w:val="bottom"/>
            <w:hideMark/>
          </w:tcPr>
          <w:p w14:paraId="5D7813EA"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62A0D3F1"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4EEFBFE2"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25" w:type="dxa"/>
            <w:tcBorders>
              <w:top w:val="nil"/>
              <w:left w:val="nil"/>
              <w:bottom w:val="single" w:sz="12" w:space="0" w:color="auto"/>
              <w:right w:val="single" w:sz="12" w:space="0" w:color="auto"/>
            </w:tcBorders>
            <w:shd w:val="clear" w:color="auto" w:fill="E8E8E8"/>
            <w:noWrap/>
            <w:vAlign w:val="bottom"/>
            <w:hideMark/>
          </w:tcPr>
          <w:p w14:paraId="5EA11A31"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r>
      <w:tr w:rsidR="00CD6EE7" w:rsidRPr="008D21C4" w14:paraId="7C8C6436" w14:textId="77777777" w:rsidTr="7DC21327">
        <w:trPr>
          <w:trHeight w:val="270"/>
        </w:trPr>
        <w:tc>
          <w:tcPr>
            <w:tcW w:w="1140" w:type="dxa"/>
            <w:tcBorders>
              <w:top w:val="single" w:sz="4" w:space="0" w:color="auto"/>
              <w:left w:val="single" w:sz="12" w:space="0" w:color="auto"/>
              <w:bottom w:val="single" w:sz="4" w:space="0" w:color="auto"/>
              <w:right w:val="single" w:sz="4" w:space="0" w:color="auto"/>
            </w:tcBorders>
            <w:noWrap/>
            <w:vAlign w:val="bottom"/>
            <w:hideMark/>
          </w:tcPr>
          <w:p w14:paraId="13457E31" w14:textId="22362F5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3,627</w:t>
            </w:r>
          </w:p>
        </w:tc>
        <w:tc>
          <w:tcPr>
            <w:tcW w:w="402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6C06E847"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Employees</w:t>
            </w:r>
          </w:p>
        </w:tc>
        <w:tc>
          <w:tcPr>
            <w:tcW w:w="1134" w:type="dxa"/>
            <w:tcBorders>
              <w:top w:val="single" w:sz="4" w:space="0" w:color="auto"/>
              <w:left w:val="nil"/>
              <w:bottom w:val="single" w:sz="4" w:space="0" w:color="auto"/>
              <w:right w:val="single" w:sz="4" w:space="0" w:color="auto"/>
            </w:tcBorders>
            <w:noWrap/>
            <w:vAlign w:val="bottom"/>
            <w:hideMark/>
          </w:tcPr>
          <w:p w14:paraId="6009DAC3" w14:textId="01D0358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3,606</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751A4520" w14:textId="7485FE89"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3,689</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0BDAD81C" w14:textId="0459EB4B"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3,775</w:t>
            </w:r>
          </w:p>
        </w:tc>
        <w:tc>
          <w:tcPr>
            <w:tcW w:w="1125" w:type="dxa"/>
            <w:tcBorders>
              <w:top w:val="single" w:sz="4" w:space="0" w:color="auto"/>
              <w:left w:val="single" w:sz="12" w:space="0" w:color="auto"/>
              <w:bottom w:val="single" w:sz="4" w:space="0" w:color="auto"/>
              <w:right w:val="single" w:sz="12" w:space="0" w:color="auto"/>
            </w:tcBorders>
            <w:noWrap/>
            <w:vAlign w:val="bottom"/>
            <w:hideMark/>
          </w:tcPr>
          <w:p w14:paraId="65A16AD5" w14:textId="4C30FE6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3,863</w:t>
            </w:r>
          </w:p>
        </w:tc>
      </w:tr>
      <w:tr w:rsidR="00CD6EE7" w:rsidRPr="008D21C4" w14:paraId="308AB8E4"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30ED6EF8" w14:textId="4F88845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1FC6E39B"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Premises</w:t>
            </w:r>
          </w:p>
        </w:tc>
        <w:tc>
          <w:tcPr>
            <w:tcW w:w="1134" w:type="dxa"/>
            <w:tcBorders>
              <w:top w:val="nil"/>
              <w:left w:val="nil"/>
              <w:bottom w:val="single" w:sz="4" w:space="0" w:color="auto"/>
              <w:right w:val="single" w:sz="4" w:space="0" w:color="auto"/>
            </w:tcBorders>
            <w:noWrap/>
            <w:vAlign w:val="bottom"/>
            <w:hideMark/>
          </w:tcPr>
          <w:p w14:paraId="2C167E09" w14:textId="64F3518D"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5EDF91B" w14:textId="73A1783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57A78D8" w14:textId="0CF7B52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067AD003" w14:textId="18CCAD2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3C0DD6EB"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54E3C656" w14:textId="1EF5ACA4"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413CC455"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Transport</w:t>
            </w:r>
          </w:p>
        </w:tc>
        <w:tc>
          <w:tcPr>
            <w:tcW w:w="1134" w:type="dxa"/>
            <w:tcBorders>
              <w:top w:val="nil"/>
              <w:left w:val="nil"/>
              <w:bottom w:val="single" w:sz="4" w:space="0" w:color="auto"/>
              <w:right w:val="single" w:sz="4" w:space="0" w:color="auto"/>
            </w:tcBorders>
            <w:noWrap/>
            <w:vAlign w:val="bottom"/>
            <w:hideMark/>
          </w:tcPr>
          <w:p w14:paraId="5344CAB8" w14:textId="11E09FAE"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w:t>
            </w:r>
          </w:p>
        </w:tc>
        <w:tc>
          <w:tcPr>
            <w:tcW w:w="1172" w:type="dxa"/>
            <w:tcBorders>
              <w:top w:val="nil"/>
              <w:left w:val="single" w:sz="12" w:space="0" w:color="auto"/>
              <w:bottom w:val="single" w:sz="4" w:space="0" w:color="auto"/>
              <w:right w:val="single" w:sz="4" w:space="0" w:color="auto"/>
            </w:tcBorders>
            <w:noWrap/>
            <w:vAlign w:val="bottom"/>
            <w:hideMark/>
          </w:tcPr>
          <w:p w14:paraId="1121C685" w14:textId="5B7E87E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w:t>
            </w:r>
          </w:p>
        </w:tc>
        <w:tc>
          <w:tcPr>
            <w:tcW w:w="1172" w:type="dxa"/>
            <w:tcBorders>
              <w:top w:val="nil"/>
              <w:left w:val="single" w:sz="12" w:space="0" w:color="auto"/>
              <w:bottom w:val="single" w:sz="4" w:space="0" w:color="auto"/>
              <w:right w:val="single" w:sz="4" w:space="0" w:color="auto"/>
            </w:tcBorders>
            <w:noWrap/>
            <w:vAlign w:val="bottom"/>
            <w:hideMark/>
          </w:tcPr>
          <w:p w14:paraId="57C98F57" w14:textId="433A2AA9"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w:t>
            </w:r>
          </w:p>
        </w:tc>
        <w:tc>
          <w:tcPr>
            <w:tcW w:w="1125" w:type="dxa"/>
            <w:tcBorders>
              <w:top w:val="nil"/>
              <w:left w:val="single" w:sz="12" w:space="0" w:color="auto"/>
              <w:bottom w:val="single" w:sz="4" w:space="0" w:color="auto"/>
              <w:right w:val="single" w:sz="12" w:space="0" w:color="auto"/>
            </w:tcBorders>
            <w:noWrap/>
            <w:vAlign w:val="bottom"/>
            <w:hideMark/>
          </w:tcPr>
          <w:p w14:paraId="6A8CF131" w14:textId="299D9B8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w:t>
            </w:r>
          </w:p>
        </w:tc>
      </w:tr>
      <w:tr w:rsidR="00CD6EE7" w:rsidRPr="008D21C4" w14:paraId="215D1F51"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79FAC158" w14:textId="773A6BDE"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26,428</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23D85437"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Supplies and Services</w:t>
            </w:r>
          </w:p>
        </w:tc>
        <w:tc>
          <w:tcPr>
            <w:tcW w:w="1134" w:type="dxa"/>
            <w:tcBorders>
              <w:top w:val="nil"/>
              <w:left w:val="nil"/>
              <w:bottom w:val="single" w:sz="4" w:space="0" w:color="auto"/>
              <w:right w:val="single" w:sz="4" w:space="0" w:color="auto"/>
            </w:tcBorders>
            <w:noWrap/>
            <w:vAlign w:val="bottom"/>
            <w:hideMark/>
          </w:tcPr>
          <w:p w14:paraId="3D239693" w14:textId="3558B0E5"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32,065</w:t>
            </w:r>
          </w:p>
        </w:tc>
        <w:tc>
          <w:tcPr>
            <w:tcW w:w="1172" w:type="dxa"/>
            <w:tcBorders>
              <w:top w:val="nil"/>
              <w:left w:val="single" w:sz="12" w:space="0" w:color="auto"/>
              <w:bottom w:val="single" w:sz="4" w:space="0" w:color="auto"/>
              <w:right w:val="single" w:sz="4" w:space="0" w:color="auto"/>
            </w:tcBorders>
            <w:noWrap/>
            <w:vAlign w:val="bottom"/>
            <w:hideMark/>
          </w:tcPr>
          <w:p w14:paraId="19546204" w14:textId="35048AE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32,065</w:t>
            </w:r>
          </w:p>
        </w:tc>
        <w:tc>
          <w:tcPr>
            <w:tcW w:w="1172" w:type="dxa"/>
            <w:tcBorders>
              <w:top w:val="nil"/>
              <w:left w:val="single" w:sz="12" w:space="0" w:color="auto"/>
              <w:bottom w:val="single" w:sz="4" w:space="0" w:color="auto"/>
              <w:right w:val="single" w:sz="4" w:space="0" w:color="auto"/>
            </w:tcBorders>
            <w:noWrap/>
            <w:vAlign w:val="bottom"/>
            <w:hideMark/>
          </w:tcPr>
          <w:p w14:paraId="5540FA69" w14:textId="0AEA7E95"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32,065</w:t>
            </w:r>
          </w:p>
        </w:tc>
        <w:tc>
          <w:tcPr>
            <w:tcW w:w="1125" w:type="dxa"/>
            <w:tcBorders>
              <w:top w:val="nil"/>
              <w:left w:val="single" w:sz="12" w:space="0" w:color="auto"/>
              <w:bottom w:val="single" w:sz="4" w:space="0" w:color="auto"/>
              <w:right w:val="single" w:sz="12" w:space="0" w:color="auto"/>
            </w:tcBorders>
            <w:noWrap/>
            <w:vAlign w:val="bottom"/>
            <w:hideMark/>
          </w:tcPr>
          <w:p w14:paraId="38D36882" w14:textId="201F88B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32,065</w:t>
            </w:r>
          </w:p>
        </w:tc>
      </w:tr>
      <w:tr w:rsidR="00CD6EE7" w:rsidRPr="008D21C4" w14:paraId="5FE2127E"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0C8722F9" w14:textId="5D1F718E"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375554F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Third Party Payments</w:t>
            </w:r>
          </w:p>
        </w:tc>
        <w:tc>
          <w:tcPr>
            <w:tcW w:w="1134" w:type="dxa"/>
            <w:tcBorders>
              <w:top w:val="nil"/>
              <w:left w:val="nil"/>
              <w:bottom w:val="single" w:sz="4" w:space="0" w:color="auto"/>
              <w:right w:val="single" w:sz="4" w:space="0" w:color="auto"/>
            </w:tcBorders>
            <w:noWrap/>
            <w:vAlign w:val="bottom"/>
            <w:hideMark/>
          </w:tcPr>
          <w:p w14:paraId="5FA87B03" w14:textId="08160063"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D841DA5" w14:textId="5E43F2F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07230F0" w14:textId="14F76B9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27CC338B" w14:textId="4F23117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7C07D1FF"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7EEC520C" w14:textId="105C2BF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4B14943D" w14:textId="4B63E1C9" w:rsidR="00CD6EE7" w:rsidRPr="008D21C4" w:rsidRDefault="00B67584" w:rsidP="00CD6EE7">
            <w:pPr>
              <w:rPr>
                <w:rFonts w:eastAsia="Times New Roman" w:cs="Times New Roman"/>
                <w:b/>
                <w:bCs/>
                <w:color w:val="000000"/>
                <w:kern w:val="0"/>
                <w:sz w:val="20"/>
                <w:szCs w:val="20"/>
                <w:lang w:eastAsia="en-GB"/>
                <w14:ligatures w14:val="none"/>
              </w:rPr>
            </w:pPr>
            <w:r w:rsidRPr="008D21C4">
              <w:rPr>
                <w:rFonts w:eastAsia="Times New Roman" w:cs="Times New Roman"/>
                <w:b/>
                <w:color w:val="000000"/>
                <w:kern w:val="0"/>
                <w:sz w:val="20"/>
                <w:szCs w:val="20"/>
                <w:lang w:eastAsia="en-GB"/>
                <w14:ligatures w14:val="none"/>
              </w:rPr>
              <w:t>Corporat</w:t>
            </w:r>
            <w:r>
              <w:rPr>
                <w:rFonts w:eastAsia="Times New Roman" w:cs="Times New Roman"/>
                <w:b/>
                <w:color w:val="000000"/>
                <w:kern w:val="0"/>
                <w:sz w:val="20"/>
                <w:szCs w:val="20"/>
                <w:lang w:eastAsia="en-GB"/>
                <w14:ligatures w14:val="none"/>
              </w:rPr>
              <w:t>e Support Recharges</w:t>
            </w:r>
          </w:p>
        </w:tc>
        <w:tc>
          <w:tcPr>
            <w:tcW w:w="1134" w:type="dxa"/>
            <w:tcBorders>
              <w:top w:val="nil"/>
              <w:left w:val="nil"/>
              <w:bottom w:val="single" w:sz="4" w:space="0" w:color="auto"/>
              <w:right w:val="single" w:sz="4" w:space="0" w:color="auto"/>
            </w:tcBorders>
            <w:noWrap/>
            <w:vAlign w:val="bottom"/>
            <w:hideMark/>
          </w:tcPr>
          <w:p w14:paraId="6F87C7FE" w14:textId="4D2CFE0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7104153" w14:textId="3C3F59C5"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5A6F647" w14:textId="2DCDCC4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0142D591" w14:textId="2D3AE44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62226909" w14:textId="77777777" w:rsidTr="7DC21327">
        <w:trPr>
          <w:trHeight w:val="270"/>
        </w:trPr>
        <w:tc>
          <w:tcPr>
            <w:tcW w:w="1140" w:type="dxa"/>
            <w:tcBorders>
              <w:top w:val="nil"/>
              <w:left w:val="single" w:sz="12" w:space="0" w:color="auto"/>
              <w:bottom w:val="single" w:sz="4" w:space="0" w:color="auto"/>
              <w:right w:val="single" w:sz="4" w:space="0" w:color="auto"/>
            </w:tcBorders>
            <w:noWrap/>
            <w:vAlign w:val="bottom"/>
            <w:hideMark/>
          </w:tcPr>
          <w:p w14:paraId="531017ED" w14:textId="7AEC0D5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2B72C0E1" w14:textId="2623B845" w:rsidR="00CD6EE7" w:rsidRPr="008D21C4" w:rsidRDefault="0078202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Central Costs</w:t>
            </w:r>
          </w:p>
        </w:tc>
        <w:tc>
          <w:tcPr>
            <w:tcW w:w="1134" w:type="dxa"/>
            <w:tcBorders>
              <w:top w:val="nil"/>
              <w:left w:val="nil"/>
              <w:bottom w:val="single" w:sz="4" w:space="0" w:color="auto"/>
              <w:right w:val="single" w:sz="4" w:space="0" w:color="auto"/>
            </w:tcBorders>
            <w:noWrap/>
            <w:vAlign w:val="bottom"/>
            <w:hideMark/>
          </w:tcPr>
          <w:p w14:paraId="6C5E5326" w14:textId="1A6703B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9A8C9B8" w14:textId="1D4BA263"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B4F8DDB" w14:textId="545F666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1601E7B3" w14:textId="20956F8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4F5EF7AD" w14:textId="77777777" w:rsidTr="7DC21327">
        <w:trPr>
          <w:trHeight w:val="280"/>
        </w:trPr>
        <w:tc>
          <w:tcPr>
            <w:tcW w:w="114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D246226" w14:textId="60086DD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30,062</w:t>
            </w:r>
          </w:p>
        </w:tc>
        <w:tc>
          <w:tcPr>
            <w:tcW w:w="402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7D62A8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Expenditure</w:t>
            </w:r>
          </w:p>
        </w:tc>
        <w:tc>
          <w:tcPr>
            <w:tcW w:w="1134" w:type="dxa"/>
            <w:tcBorders>
              <w:top w:val="single" w:sz="12" w:space="0" w:color="auto"/>
              <w:left w:val="nil"/>
              <w:bottom w:val="single" w:sz="12" w:space="0" w:color="auto"/>
              <w:right w:val="single" w:sz="4" w:space="0" w:color="auto"/>
            </w:tcBorders>
            <w:shd w:val="clear" w:color="auto" w:fill="E8E8E8"/>
            <w:noWrap/>
            <w:vAlign w:val="bottom"/>
            <w:hideMark/>
          </w:tcPr>
          <w:p w14:paraId="4E29D435" w14:textId="25869E1D"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35,679</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5BECF52" w14:textId="6EDF556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35,762</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4243D00" w14:textId="4941A7C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35,848</w:t>
            </w:r>
          </w:p>
        </w:tc>
        <w:tc>
          <w:tcPr>
            <w:tcW w:w="1125"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2D451C64" w14:textId="7D5915B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35,936</w:t>
            </w:r>
          </w:p>
        </w:tc>
      </w:tr>
      <w:tr w:rsidR="00CD6EE7" w:rsidRPr="008D21C4" w14:paraId="1A540EB4" w14:textId="77777777" w:rsidTr="7DC21327">
        <w:trPr>
          <w:trHeight w:val="270"/>
        </w:trPr>
        <w:tc>
          <w:tcPr>
            <w:tcW w:w="1140" w:type="dxa"/>
            <w:tcBorders>
              <w:top w:val="single" w:sz="4" w:space="0" w:color="auto"/>
              <w:left w:val="single" w:sz="12" w:space="0" w:color="auto"/>
              <w:bottom w:val="single" w:sz="4" w:space="0" w:color="auto"/>
              <w:right w:val="single" w:sz="4" w:space="0" w:color="auto"/>
            </w:tcBorders>
            <w:noWrap/>
            <w:vAlign w:val="bottom"/>
            <w:hideMark/>
          </w:tcPr>
          <w:p w14:paraId="09508F67" w14:textId="4E26A3E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729A16F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Charges</w:t>
            </w:r>
          </w:p>
        </w:tc>
        <w:tc>
          <w:tcPr>
            <w:tcW w:w="1134" w:type="dxa"/>
            <w:tcBorders>
              <w:top w:val="single" w:sz="4" w:space="0" w:color="auto"/>
              <w:left w:val="nil"/>
              <w:bottom w:val="single" w:sz="4" w:space="0" w:color="auto"/>
              <w:right w:val="single" w:sz="4" w:space="0" w:color="auto"/>
            </w:tcBorders>
            <w:noWrap/>
            <w:vAlign w:val="bottom"/>
            <w:hideMark/>
          </w:tcPr>
          <w:p w14:paraId="1C6F020E" w14:textId="1160E8F4"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9AE9924" w14:textId="1C66922E"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A35F3E9" w14:textId="09A2C3A3"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single" w:sz="4" w:space="0" w:color="auto"/>
              <w:left w:val="single" w:sz="12" w:space="0" w:color="auto"/>
              <w:bottom w:val="single" w:sz="4" w:space="0" w:color="auto"/>
              <w:right w:val="single" w:sz="12" w:space="0" w:color="auto"/>
            </w:tcBorders>
            <w:noWrap/>
            <w:vAlign w:val="bottom"/>
            <w:hideMark/>
          </w:tcPr>
          <w:p w14:paraId="32DB18D2" w14:textId="224490D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2E34455F" w14:textId="77777777" w:rsidTr="7DC21327">
        <w:trPr>
          <w:trHeight w:val="515"/>
        </w:trPr>
        <w:tc>
          <w:tcPr>
            <w:tcW w:w="1140" w:type="dxa"/>
            <w:tcBorders>
              <w:top w:val="nil"/>
              <w:left w:val="single" w:sz="12" w:space="0" w:color="auto"/>
              <w:bottom w:val="single" w:sz="4" w:space="0" w:color="auto"/>
              <w:right w:val="single" w:sz="4" w:space="0" w:color="auto"/>
            </w:tcBorders>
            <w:noWrap/>
            <w:vAlign w:val="bottom"/>
            <w:hideMark/>
          </w:tcPr>
          <w:p w14:paraId="25C4BDC6" w14:textId="3B6B3448"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(17,164)</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07B1191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Grant</w:t>
            </w:r>
          </w:p>
        </w:tc>
        <w:tc>
          <w:tcPr>
            <w:tcW w:w="1134" w:type="dxa"/>
            <w:tcBorders>
              <w:top w:val="nil"/>
              <w:left w:val="nil"/>
              <w:bottom w:val="single" w:sz="4" w:space="0" w:color="auto"/>
              <w:right w:val="single" w:sz="4" w:space="0" w:color="auto"/>
            </w:tcBorders>
            <w:noWrap/>
            <w:vAlign w:val="bottom"/>
            <w:hideMark/>
          </w:tcPr>
          <w:p w14:paraId="301D529D" w14:textId="3B74794B"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(20,335)</w:t>
            </w:r>
          </w:p>
        </w:tc>
        <w:tc>
          <w:tcPr>
            <w:tcW w:w="1172" w:type="dxa"/>
            <w:tcBorders>
              <w:top w:val="nil"/>
              <w:left w:val="single" w:sz="12" w:space="0" w:color="auto"/>
              <w:bottom w:val="single" w:sz="4" w:space="0" w:color="auto"/>
              <w:right w:val="single" w:sz="4" w:space="0" w:color="auto"/>
            </w:tcBorders>
            <w:noWrap/>
            <w:vAlign w:val="bottom"/>
            <w:hideMark/>
          </w:tcPr>
          <w:p w14:paraId="6FF72C25" w14:textId="7E5E042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(20,335)</w:t>
            </w:r>
          </w:p>
        </w:tc>
        <w:tc>
          <w:tcPr>
            <w:tcW w:w="1172" w:type="dxa"/>
            <w:tcBorders>
              <w:top w:val="nil"/>
              <w:left w:val="single" w:sz="12" w:space="0" w:color="auto"/>
              <w:bottom w:val="single" w:sz="4" w:space="0" w:color="auto"/>
              <w:right w:val="single" w:sz="4" w:space="0" w:color="auto"/>
            </w:tcBorders>
            <w:noWrap/>
            <w:vAlign w:val="bottom"/>
            <w:hideMark/>
          </w:tcPr>
          <w:p w14:paraId="786582D8" w14:textId="77D1C75F"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(20,335)</w:t>
            </w:r>
          </w:p>
        </w:tc>
        <w:tc>
          <w:tcPr>
            <w:tcW w:w="1125" w:type="dxa"/>
            <w:tcBorders>
              <w:top w:val="nil"/>
              <w:left w:val="single" w:sz="12" w:space="0" w:color="auto"/>
              <w:bottom w:val="single" w:sz="4" w:space="0" w:color="auto"/>
              <w:right w:val="single" w:sz="12" w:space="0" w:color="auto"/>
            </w:tcBorders>
            <w:noWrap/>
            <w:vAlign w:val="bottom"/>
            <w:hideMark/>
          </w:tcPr>
          <w:p w14:paraId="69599EF6" w14:textId="45DA6FBD"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(20,335)</w:t>
            </w:r>
          </w:p>
        </w:tc>
      </w:tr>
      <w:tr w:rsidR="00CD6EE7" w:rsidRPr="008D21C4" w14:paraId="798BFC89"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2656069C" w14:textId="4EB819A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4D4851E2"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Recharges</w:t>
            </w:r>
          </w:p>
        </w:tc>
        <w:tc>
          <w:tcPr>
            <w:tcW w:w="1134" w:type="dxa"/>
            <w:tcBorders>
              <w:top w:val="nil"/>
              <w:left w:val="nil"/>
              <w:bottom w:val="single" w:sz="4" w:space="0" w:color="auto"/>
              <w:right w:val="single" w:sz="4" w:space="0" w:color="auto"/>
            </w:tcBorders>
            <w:noWrap/>
            <w:vAlign w:val="bottom"/>
            <w:hideMark/>
          </w:tcPr>
          <w:p w14:paraId="6A7A2251" w14:textId="2F054D5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A8367BF" w14:textId="7E295D6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E3000EC" w14:textId="70A4AE01"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22A04536" w14:textId="73495C1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1D3E61FD"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0A63FE65" w14:textId="60E18094"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39232E7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CSR</w:t>
            </w:r>
          </w:p>
        </w:tc>
        <w:tc>
          <w:tcPr>
            <w:tcW w:w="1134" w:type="dxa"/>
            <w:tcBorders>
              <w:top w:val="nil"/>
              <w:left w:val="nil"/>
              <w:bottom w:val="single" w:sz="4" w:space="0" w:color="auto"/>
              <w:right w:val="single" w:sz="4" w:space="0" w:color="auto"/>
            </w:tcBorders>
            <w:noWrap/>
            <w:vAlign w:val="bottom"/>
            <w:hideMark/>
          </w:tcPr>
          <w:p w14:paraId="15B9CFBE" w14:textId="605DBBD6"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(209)</w:t>
            </w:r>
          </w:p>
        </w:tc>
        <w:tc>
          <w:tcPr>
            <w:tcW w:w="1172" w:type="dxa"/>
            <w:tcBorders>
              <w:top w:val="nil"/>
              <w:left w:val="single" w:sz="12" w:space="0" w:color="auto"/>
              <w:bottom w:val="single" w:sz="4" w:space="0" w:color="auto"/>
              <w:right w:val="single" w:sz="4" w:space="0" w:color="auto"/>
            </w:tcBorders>
            <w:noWrap/>
            <w:vAlign w:val="bottom"/>
            <w:hideMark/>
          </w:tcPr>
          <w:p w14:paraId="146356F6" w14:textId="06FBDB7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(238)</w:t>
            </w:r>
          </w:p>
        </w:tc>
        <w:tc>
          <w:tcPr>
            <w:tcW w:w="1172" w:type="dxa"/>
            <w:tcBorders>
              <w:top w:val="nil"/>
              <w:left w:val="single" w:sz="12" w:space="0" w:color="auto"/>
              <w:bottom w:val="single" w:sz="4" w:space="0" w:color="auto"/>
              <w:right w:val="single" w:sz="4" w:space="0" w:color="auto"/>
            </w:tcBorders>
            <w:noWrap/>
            <w:vAlign w:val="bottom"/>
            <w:hideMark/>
          </w:tcPr>
          <w:p w14:paraId="420BD1EA" w14:textId="071FD641"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(259)</w:t>
            </w:r>
          </w:p>
        </w:tc>
        <w:tc>
          <w:tcPr>
            <w:tcW w:w="1125" w:type="dxa"/>
            <w:tcBorders>
              <w:top w:val="nil"/>
              <w:left w:val="single" w:sz="12" w:space="0" w:color="auto"/>
              <w:bottom w:val="single" w:sz="4" w:space="0" w:color="auto"/>
              <w:right w:val="single" w:sz="12" w:space="0" w:color="auto"/>
            </w:tcBorders>
            <w:noWrap/>
            <w:vAlign w:val="bottom"/>
            <w:hideMark/>
          </w:tcPr>
          <w:p w14:paraId="5A80E0D6" w14:textId="6B6B238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(279)</w:t>
            </w:r>
          </w:p>
        </w:tc>
      </w:tr>
      <w:tr w:rsidR="005A0712" w:rsidRPr="008D21C4" w14:paraId="4C2E53A3" w14:textId="77777777" w:rsidTr="7DC21327">
        <w:trPr>
          <w:trHeight w:val="565"/>
        </w:trPr>
        <w:tc>
          <w:tcPr>
            <w:tcW w:w="1140" w:type="dxa"/>
            <w:tcBorders>
              <w:top w:val="nil"/>
              <w:left w:val="single" w:sz="12" w:space="0" w:color="auto"/>
              <w:bottom w:val="single" w:sz="4" w:space="0" w:color="auto"/>
              <w:right w:val="single" w:sz="4" w:space="0" w:color="auto"/>
            </w:tcBorders>
            <w:noWrap/>
            <w:vAlign w:val="bottom"/>
            <w:hideMark/>
          </w:tcPr>
          <w:p w14:paraId="7D41DE21" w14:textId="460E88E1"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(12,786)</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62F3932B"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Summary</w:t>
            </w:r>
          </w:p>
        </w:tc>
        <w:tc>
          <w:tcPr>
            <w:tcW w:w="1134" w:type="dxa"/>
            <w:tcBorders>
              <w:top w:val="nil"/>
              <w:left w:val="nil"/>
              <w:bottom w:val="single" w:sz="4" w:space="0" w:color="auto"/>
              <w:right w:val="single" w:sz="4" w:space="0" w:color="auto"/>
            </w:tcBorders>
            <w:noWrap/>
            <w:vAlign w:val="bottom"/>
            <w:hideMark/>
          </w:tcPr>
          <w:p w14:paraId="3561CA23" w14:textId="083FAAF2"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(15,136)</w:t>
            </w:r>
          </w:p>
        </w:tc>
        <w:tc>
          <w:tcPr>
            <w:tcW w:w="1172" w:type="dxa"/>
            <w:tcBorders>
              <w:top w:val="nil"/>
              <w:left w:val="single" w:sz="12" w:space="0" w:color="auto"/>
              <w:bottom w:val="single" w:sz="4" w:space="0" w:color="auto"/>
              <w:right w:val="single" w:sz="4" w:space="0" w:color="auto"/>
            </w:tcBorders>
            <w:noWrap/>
            <w:vAlign w:val="bottom"/>
            <w:hideMark/>
          </w:tcPr>
          <w:p w14:paraId="039481AD" w14:textId="0D8DCDC6"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(15,189)</w:t>
            </w:r>
          </w:p>
        </w:tc>
        <w:tc>
          <w:tcPr>
            <w:tcW w:w="1172" w:type="dxa"/>
            <w:tcBorders>
              <w:top w:val="nil"/>
              <w:left w:val="single" w:sz="12" w:space="0" w:color="auto"/>
              <w:bottom w:val="single" w:sz="4" w:space="0" w:color="auto"/>
              <w:right w:val="single" w:sz="4" w:space="0" w:color="auto"/>
            </w:tcBorders>
            <w:noWrap/>
            <w:vAlign w:val="bottom"/>
            <w:hideMark/>
          </w:tcPr>
          <w:p w14:paraId="733F7EF8" w14:textId="141BDFD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(15,255)</w:t>
            </w:r>
          </w:p>
        </w:tc>
        <w:tc>
          <w:tcPr>
            <w:tcW w:w="1125" w:type="dxa"/>
            <w:tcBorders>
              <w:top w:val="nil"/>
              <w:left w:val="single" w:sz="12" w:space="0" w:color="auto"/>
              <w:bottom w:val="single" w:sz="4" w:space="0" w:color="auto"/>
              <w:right w:val="single" w:sz="12" w:space="0" w:color="auto"/>
            </w:tcBorders>
            <w:noWrap/>
            <w:vAlign w:val="bottom"/>
            <w:hideMark/>
          </w:tcPr>
          <w:p w14:paraId="65F6E7FA" w14:textId="0C6672A7"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(15,322)</w:t>
            </w:r>
          </w:p>
        </w:tc>
      </w:tr>
      <w:tr w:rsidR="00CD6EE7" w:rsidRPr="008D21C4" w14:paraId="173C60AA"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284B6AAF" w14:textId="47BEB72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7048869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Bank Interest</w:t>
            </w:r>
          </w:p>
        </w:tc>
        <w:tc>
          <w:tcPr>
            <w:tcW w:w="1134" w:type="dxa"/>
            <w:tcBorders>
              <w:top w:val="nil"/>
              <w:left w:val="nil"/>
              <w:bottom w:val="single" w:sz="4" w:space="0" w:color="auto"/>
              <w:right w:val="single" w:sz="4" w:space="0" w:color="auto"/>
            </w:tcBorders>
            <w:noWrap/>
            <w:vAlign w:val="bottom"/>
            <w:hideMark/>
          </w:tcPr>
          <w:p w14:paraId="295FAECA" w14:textId="5C790F7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6C138BF" w14:textId="543A191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DAAEE86" w14:textId="2E8A058F"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318D5D2D" w14:textId="444F8A2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12FE29F3" w14:textId="77777777" w:rsidTr="7DC21327">
        <w:trPr>
          <w:trHeight w:val="260"/>
        </w:trPr>
        <w:tc>
          <w:tcPr>
            <w:tcW w:w="1140" w:type="dxa"/>
            <w:tcBorders>
              <w:top w:val="nil"/>
              <w:left w:val="single" w:sz="12" w:space="0" w:color="auto"/>
              <w:bottom w:val="single" w:sz="4" w:space="0" w:color="auto"/>
              <w:right w:val="single" w:sz="4" w:space="0" w:color="auto"/>
            </w:tcBorders>
            <w:noWrap/>
            <w:vAlign w:val="bottom"/>
            <w:hideMark/>
          </w:tcPr>
          <w:p w14:paraId="02552105" w14:textId="354AF4D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16E06654" w14:textId="71821B18"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Inter</w:t>
            </w:r>
            <w:r w:rsidR="00A446F7" w:rsidRPr="008D21C4">
              <w:rPr>
                <w:rFonts w:eastAsia="Times New Roman" w:cs="Times New Roman"/>
                <w:b/>
                <w:bCs/>
                <w:color w:val="000000"/>
                <w:kern w:val="0"/>
                <w:sz w:val="20"/>
                <w:szCs w:val="20"/>
                <w:lang w:eastAsia="en-GB"/>
                <w14:ligatures w14:val="none"/>
              </w:rPr>
              <w:t>e</w:t>
            </w:r>
            <w:r w:rsidRPr="008D21C4">
              <w:rPr>
                <w:rFonts w:eastAsia="Times New Roman" w:cs="Times New Roman"/>
                <w:b/>
                <w:bCs/>
                <w:color w:val="000000"/>
                <w:kern w:val="0"/>
                <w:sz w:val="20"/>
                <w:szCs w:val="20"/>
                <w:lang w:eastAsia="en-GB"/>
                <w14:ligatures w14:val="none"/>
              </w:rPr>
              <w:t>st From Investments</w:t>
            </w:r>
          </w:p>
        </w:tc>
        <w:tc>
          <w:tcPr>
            <w:tcW w:w="1134" w:type="dxa"/>
            <w:tcBorders>
              <w:top w:val="nil"/>
              <w:left w:val="nil"/>
              <w:bottom w:val="single" w:sz="4" w:space="0" w:color="auto"/>
              <w:right w:val="single" w:sz="4" w:space="0" w:color="auto"/>
            </w:tcBorders>
            <w:noWrap/>
            <w:vAlign w:val="bottom"/>
            <w:hideMark/>
          </w:tcPr>
          <w:p w14:paraId="39C2701F" w14:textId="54F12E10"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3542A4D" w14:textId="336E8912"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EE7D264" w14:textId="3863FA8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1E7F4170" w14:textId="63B51415"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4F4382A0" w14:textId="77777777" w:rsidTr="7DC21327">
        <w:trPr>
          <w:trHeight w:val="270"/>
        </w:trPr>
        <w:tc>
          <w:tcPr>
            <w:tcW w:w="1140" w:type="dxa"/>
            <w:tcBorders>
              <w:top w:val="nil"/>
              <w:left w:val="single" w:sz="12" w:space="0" w:color="auto"/>
              <w:bottom w:val="single" w:sz="4" w:space="0" w:color="auto"/>
              <w:right w:val="single" w:sz="4" w:space="0" w:color="auto"/>
            </w:tcBorders>
            <w:noWrap/>
            <w:vAlign w:val="bottom"/>
            <w:hideMark/>
          </w:tcPr>
          <w:p w14:paraId="3B9C14F6" w14:textId="7B51357E"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6DDCF85B"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Rents</w:t>
            </w:r>
          </w:p>
        </w:tc>
        <w:tc>
          <w:tcPr>
            <w:tcW w:w="1134" w:type="dxa"/>
            <w:tcBorders>
              <w:top w:val="nil"/>
              <w:left w:val="nil"/>
              <w:bottom w:val="single" w:sz="4" w:space="0" w:color="auto"/>
              <w:right w:val="single" w:sz="4" w:space="0" w:color="auto"/>
            </w:tcBorders>
            <w:noWrap/>
            <w:vAlign w:val="bottom"/>
            <w:hideMark/>
          </w:tcPr>
          <w:p w14:paraId="5130B6D7" w14:textId="3BFC332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4E332A4" w14:textId="0E3BAA4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B1AA3EF" w14:textId="3339BF1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380FBFF2" w14:textId="68F0DDE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6038D1" w:rsidRPr="008D21C4" w14:paraId="18EFDA7D" w14:textId="77777777" w:rsidTr="7DC21327">
        <w:trPr>
          <w:trHeight w:val="603"/>
        </w:trPr>
        <w:tc>
          <w:tcPr>
            <w:tcW w:w="114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BF71A8D" w14:textId="757E24B2"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(29,950)</w:t>
            </w:r>
          </w:p>
        </w:tc>
        <w:tc>
          <w:tcPr>
            <w:tcW w:w="402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01C278A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Income</w:t>
            </w:r>
          </w:p>
        </w:tc>
        <w:tc>
          <w:tcPr>
            <w:tcW w:w="1134" w:type="dxa"/>
            <w:tcBorders>
              <w:top w:val="single" w:sz="12" w:space="0" w:color="auto"/>
              <w:left w:val="nil"/>
              <w:bottom w:val="single" w:sz="12" w:space="0" w:color="auto"/>
              <w:right w:val="single" w:sz="4" w:space="0" w:color="auto"/>
            </w:tcBorders>
            <w:shd w:val="clear" w:color="auto" w:fill="E8E8E8"/>
            <w:noWrap/>
            <w:vAlign w:val="bottom"/>
            <w:hideMark/>
          </w:tcPr>
          <w:p w14:paraId="1C9C5C97" w14:textId="7B7DFB59"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(35,679)</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598DB3C" w14:textId="2B207F0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(35,762)</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41F5720" w14:textId="18B595B2"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(35,848)</w:t>
            </w:r>
          </w:p>
        </w:tc>
        <w:tc>
          <w:tcPr>
            <w:tcW w:w="112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015E47A9" w14:textId="093C8DF5"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(35,936)</w:t>
            </w:r>
          </w:p>
        </w:tc>
      </w:tr>
      <w:tr w:rsidR="005A0712" w:rsidRPr="008D21C4" w14:paraId="328436B7" w14:textId="77777777" w:rsidTr="7DC21327">
        <w:trPr>
          <w:trHeight w:val="280"/>
        </w:trPr>
        <w:tc>
          <w:tcPr>
            <w:tcW w:w="1140" w:type="dxa"/>
            <w:tcBorders>
              <w:top w:val="nil"/>
              <w:left w:val="single" w:sz="12" w:space="0" w:color="auto"/>
              <w:bottom w:val="single" w:sz="12" w:space="0" w:color="auto"/>
              <w:right w:val="single" w:sz="4" w:space="0" w:color="auto"/>
            </w:tcBorders>
            <w:shd w:val="clear" w:color="auto" w:fill="E8E8E8"/>
            <w:noWrap/>
            <w:vAlign w:val="bottom"/>
            <w:hideMark/>
          </w:tcPr>
          <w:p w14:paraId="449DBAD0" w14:textId="30E9BBAA"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112</w:t>
            </w:r>
          </w:p>
        </w:tc>
        <w:tc>
          <w:tcPr>
            <w:tcW w:w="4021" w:type="dxa"/>
            <w:tcBorders>
              <w:top w:val="nil"/>
              <w:left w:val="single" w:sz="12" w:space="0" w:color="auto"/>
              <w:bottom w:val="single" w:sz="12" w:space="0" w:color="auto"/>
              <w:right w:val="single" w:sz="12" w:space="0" w:color="auto"/>
            </w:tcBorders>
            <w:shd w:val="clear" w:color="auto" w:fill="E8E8E8"/>
            <w:noWrap/>
            <w:vAlign w:val="bottom"/>
            <w:hideMark/>
          </w:tcPr>
          <w:p w14:paraId="721494E4"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(Income)</w:t>
            </w:r>
          </w:p>
        </w:tc>
        <w:tc>
          <w:tcPr>
            <w:tcW w:w="1134" w:type="dxa"/>
            <w:tcBorders>
              <w:top w:val="nil"/>
              <w:left w:val="nil"/>
              <w:bottom w:val="single" w:sz="12" w:space="0" w:color="auto"/>
              <w:right w:val="single" w:sz="4" w:space="0" w:color="auto"/>
            </w:tcBorders>
            <w:shd w:val="clear" w:color="auto" w:fill="E8E8E8"/>
            <w:noWrap/>
            <w:vAlign w:val="bottom"/>
            <w:hideMark/>
          </w:tcPr>
          <w:p w14:paraId="1AA0D063" w14:textId="2A9967F7"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26672CA0" w14:textId="1C4AACE9" w:rsidR="00CD6EE7" w:rsidRPr="008D21C4" w:rsidRDefault="00C93192" w:rsidP="00C5224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5F27B49D" w14:textId="6F851AF8"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12" w:space="0" w:color="auto"/>
              <w:right w:val="single" w:sz="4" w:space="0" w:color="auto"/>
            </w:tcBorders>
            <w:shd w:val="clear" w:color="auto" w:fill="E8E8E8"/>
            <w:noWrap/>
            <w:vAlign w:val="bottom"/>
            <w:hideMark/>
          </w:tcPr>
          <w:p w14:paraId="1148D79C" w14:textId="3892D751" w:rsidR="00CD6EE7" w:rsidRPr="008D21C4" w:rsidRDefault="00C93192" w:rsidP="00C5224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r>
      <w:tr w:rsidR="00CD6EE7" w:rsidRPr="008D21C4" w14:paraId="0F83FEE9" w14:textId="77777777" w:rsidTr="7DC21327">
        <w:trPr>
          <w:trHeight w:val="270"/>
        </w:trPr>
        <w:tc>
          <w:tcPr>
            <w:tcW w:w="1140" w:type="dxa"/>
            <w:tcBorders>
              <w:top w:val="single" w:sz="4" w:space="0" w:color="auto"/>
              <w:left w:val="single" w:sz="12" w:space="0" w:color="auto"/>
              <w:bottom w:val="single" w:sz="4" w:space="0" w:color="auto"/>
              <w:right w:val="single" w:sz="4" w:space="0" w:color="auto"/>
            </w:tcBorders>
            <w:noWrap/>
            <w:vAlign w:val="bottom"/>
            <w:hideMark/>
          </w:tcPr>
          <w:p w14:paraId="1533E96B" w14:textId="3265E7D6"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038E66A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from Reserves</w:t>
            </w:r>
          </w:p>
        </w:tc>
        <w:tc>
          <w:tcPr>
            <w:tcW w:w="1134" w:type="dxa"/>
            <w:tcBorders>
              <w:top w:val="single" w:sz="4" w:space="0" w:color="auto"/>
              <w:left w:val="nil"/>
              <w:bottom w:val="single" w:sz="4" w:space="0" w:color="auto"/>
              <w:right w:val="single" w:sz="4" w:space="0" w:color="auto"/>
            </w:tcBorders>
            <w:noWrap/>
            <w:vAlign w:val="bottom"/>
            <w:hideMark/>
          </w:tcPr>
          <w:p w14:paraId="09057BD3" w14:textId="114A7D3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26C0EFE" w14:textId="7C48971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7687E8BB" w14:textId="1DD3E57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single" w:sz="4" w:space="0" w:color="auto"/>
              <w:left w:val="single" w:sz="12" w:space="0" w:color="auto"/>
              <w:bottom w:val="single" w:sz="4" w:space="0" w:color="auto"/>
              <w:right w:val="single" w:sz="12" w:space="0" w:color="auto"/>
            </w:tcBorders>
            <w:noWrap/>
            <w:vAlign w:val="bottom"/>
            <w:hideMark/>
          </w:tcPr>
          <w:p w14:paraId="56F8528E" w14:textId="539DD7CD"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CD6EE7" w:rsidRPr="008D21C4" w14:paraId="3CDA8019" w14:textId="77777777" w:rsidTr="7DC21327">
        <w:trPr>
          <w:trHeight w:val="270"/>
        </w:trPr>
        <w:tc>
          <w:tcPr>
            <w:tcW w:w="1140" w:type="dxa"/>
            <w:tcBorders>
              <w:top w:val="nil"/>
              <w:left w:val="single" w:sz="12" w:space="0" w:color="auto"/>
              <w:bottom w:val="single" w:sz="4" w:space="0" w:color="auto"/>
              <w:right w:val="single" w:sz="4" w:space="0" w:color="auto"/>
            </w:tcBorders>
            <w:noWrap/>
            <w:vAlign w:val="bottom"/>
            <w:hideMark/>
          </w:tcPr>
          <w:p w14:paraId="55D6E4A5" w14:textId="47E25C67"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21" w:type="dxa"/>
            <w:tcBorders>
              <w:top w:val="nil"/>
              <w:left w:val="single" w:sz="12" w:space="0" w:color="auto"/>
              <w:bottom w:val="single" w:sz="4" w:space="0" w:color="auto"/>
              <w:right w:val="single" w:sz="12" w:space="0" w:color="auto"/>
            </w:tcBorders>
            <w:shd w:val="clear" w:color="auto" w:fill="E8E8E8"/>
            <w:vAlign w:val="bottom"/>
            <w:hideMark/>
          </w:tcPr>
          <w:p w14:paraId="300E6A08"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To Reserves</w:t>
            </w:r>
          </w:p>
        </w:tc>
        <w:tc>
          <w:tcPr>
            <w:tcW w:w="1134" w:type="dxa"/>
            <w:tcBorders>
              <w:top w:val="nil"/>
              <w:left w:val="nil"/>
              <w:bottom w:val="single" w:sz="4" w:space="0" w:color="auto"/>
              <w:right w:val="single" w:sz="4" w:space="0" w:color="auto"/>
            </w:tcBorders>
            <w:noWrap/>
            <w:vAlign w:val="bottom"/>
            <w:hideMark/>
          </w:tcPr>
          <w:p w14:paraId="34067173" w14:textId="23693742"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63B199F" w14:textId="6512D0DC"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452E897" w14:textId="4D822C9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0BB1BE34" w14:textId="12EDCB5E"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5084DAB4" w14:textId="77777777" w:rsidTr="7DC21327">
        <w:trPr>
          <w:trHeight w:val="280"/>
        </w:trPr>
        <w:tc>
          <w:tcPr>
            <w:tcW w:w="114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5710332" w14:textId="2B09F7C8" w:rsidR="00CD6EE7" w:rsidRPr="008D21C4" w:rsidRDefault="00CD6EE7" w:rsidP="00C5224C">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112</w:t>
            </w:r>
          </w:p>
        </w:tc>
        <w:tc>
          <w:tcPr>
            <w:tcW w:w="402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7B944CE8" w14:textId="7F43F8CC"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after Contribution to/(From) Reserves</w:t>
            </w:r>
          </w:p>
        </w:tc>
        <w:tc>
          <w:tcPr>
            <w:tcW w:w="1134" w:type="dxa"/>
            <w:tcBorders>
              <w:top w:val="single" w:sz="12" w:space="0" w:color="auto"/>
              <w:left w:val="nil"/>
              <w:bottom w:val="single" w:sz="12" w:space="0" w:color="auto"/>
              <w:right w:val="single" w:sz="4" w:space="0" w:color="auto"/>
            </w:tcBorders>
            <w:shd w:val="clear" w:color="auto" w:fill="E8E8E8"/>
            <w:noWrap/>
            <w:vAlign w:val="bottom"/>
            <w:hideMark/>
          </w:tcPr>
          <w:p w14:paraId="035765E2" w14:textId="23AC1620"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AEC3D7B" w14:textId="6699308B" w:rsidR="00CD6EE7" w:rsidRPr="008D21C4" w:rsidRDefault="00C93192" w:rsidP="00C5224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3FF823B" w14:textId="019E4040"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2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C33F683" w14:textId="71A36414" w:rsidR="00CD6EE7" w:rsidRPr="008D21C4" w:rsidRDefault="00C93192" w:rsidP="00C5224C">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r>
    </w:tbl>
    <w:p w14:paraId="0D2EEFC1" w14:textId="77777777" w:rsidR="001716C7" w:rsidRDefault="001716C7">
      <w:r>
        <w:br w:type="page"/>
      </w:r>
    </w:p>
    <w:tbl>
      <w:tblPr>
        <w:tblW w:w="9716" w:type="dxa"/>
        <w:tblLook w:val="04A0" w:firstRow="1" w:lastRow="0" w:firstColumn="1" w:lastColumn="0" w:noHBand="0" w:noVBand="1"/>
      </w:tblPr>
      <w:tblGrid>
        <w:gridCol w:w="1125"/>
        <w:gridCol w:w="4036"/>
        <w:gridCol w:w="1026"/>
        <w:gridCol w:w="1172"/>
        <w:gridCol w:w="1172"/>
        <w:gridCol w:w="1185"/>
      </w:tblGrid>
      <w:tr w:rsidR="00CD6EE7" w:rsidRPr="008D21C4" w14:paraId="44FC5111" w14:textId="77777777" w:rsidTr="0BC0C58E">
        <w:trPr>
          <w:trHeight w:val="280"/>
        </w:trPr>
        <w:tc>
          <w:tcPr>
            <w:tcW w:w="1125" w:type="dxa"/>
            <w:tcBorders>
              <w:top w:val="nil"/>
              <w:left w:val="nil"/>
              <w:bottom w:val="nil"/>
              <w:right w:val="nil"/>
            </w:tcBorders>
            <w:noWrap/>
            <w:vAlign w:val="bottom"/>
            <w:hideMark/>
          </w:tcPr>
          <w:p w14:paraId="13C70070" w14:textId="309CDF4A" w:rsidR="00CD6EE7" w:rsidRPr="008D21C4" w:rsidRDefault="00CD6EE7" w:rsidP="00CD6EE7">
            <w:pPr>
              <w:rPr>
                <w:rFonts w:eastAsia="Times New Roman" w:cs="Times New Roman"/>
                <w:b/>
                <w:bCs/>
                <w:color w:val="000000"/>
                <w:kern w:val="0"/>
                <w:sz w:val="20"/>
                <w:szCs w:val="20"/>
                <w:lang w:eastAsia="en-GB"/>
                <w14:ligatures w14:val="none"/>
              </w:rPr>
            </w:pPr>
          </w:p>
        </w:tc>
        <w:tc>
          <w:tcPr>
            <w:tcW w:w="4036" w:type="dxa"/>
            <w:tcBorders>
              <w:top w:val="nil"/>
              <w:left w:val="nil"/>
              <w:bottom w:val="nil"/>
              <w:right w:val="nil"/>
            </w:tcBorders>
            <w:noWrap/>
            <w:vAlign w:val="bottom"/>
            <w:hideMark/>
          </w:tcPr>
          <w:p w14:paraId="54688262"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026" w:type="dxa"/>
            <w:tcBorders>
              <w:top w:val="nil"/>
              <w:left w:val="nil"/>
              <w:bottom w:val="nil"/>
              <w:right w:val="nil"/>
            </w:tcBorders>
            <w:noWrap/>
            <w:vAlign w:val="bottom"/>
            <w:hideMark/>
          </w:tcPr>
          <w:p w14:paraId="485EBE32"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75B360C6"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7D94793F"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85" w:type="dxa"/>
            <w:tcBorders>
              <w:top w:val="nil"/>
              <w:left w:val="nil"/>
              <w:bottom w:val="nil"/>
              <w:right w:val="nil"/>
            </w:tcBorders>
            <w:noWrap/>
            <w:vAlign w:val="bottom"/>
            <w:hideMark/>
          </w:tcPr>
          <w:p w14:paraId="43FC66B0"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r>
      <w:tr w:rsidR="005A0712" w:rsidRPr="008D21C4" w14:paraId="7AE03C31" w14:textId="77777777" w:rsidTr="0BC0C58E">
        <w:trPr>
          <w:trHeight w:val="270"/>
        </w:trPr>
        <w:tc>
          <w:tcPr>
            <w:tcW w:w="1125" w:type="dxa"/>
            <w:tcBorders>
              <w:top w:val="single" w:sz="12" w:space="0" w:color="auto"/>
              <w:left w:val="single" w:sz="12" w:space="0" w:color="auto"/>
              <w:bottom w:val="nil"/>
              <w:right w:val="single" w:sz="4" w:space="0" w:color="auto"/>
            </w:tcBorders>
            <w:shd w:val="clear" w:color="auto" w:fill="E8E8E8"/>
            <w:hideMark/>
          </w:tcPr>
          <w:p w14:paraId="1EBEDEEE" w14:textId="0CF74226"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025/26</w:t>
            </w:r>
          </w:p>
        </w:tc>
        <w:tc>
          <w:tcPr>
            <w:tcW w:w="4036" w:type="dxa"/>
            <w:tcBorders>
              <w:top w:val="single" w:sz="12" w:space="0" w:color="auto"/>
              <w:left w:val="single" w:sz="12" w:space="0" w:color="auto"/>
              <w:bottom w:val="nil"/>
              <w:right w:val="single" w:sz="12" w:space="0" w:color="auto"/>
            </w:tcBorders>
            <w:shd w:val="clear" w:color="auto" w:fill="E8E8E8"/>
            <w:noWrap/>
            <w:vAlign w:val="bottom"/>
            <w:hideMark/>
          </w:tcPr>
          <w:p w14:paraId="1B7B1D9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Operations</w:t>
            </w:r>
          </w:p>
        </w:tc>
        <w:tc>
          <w:tcPr>
            <w:tcW w:w="1026" w:type="dxa"/>
            <w:tcBorders>
              <w:top w:val="single" w:sz="12" w:space="0" w:color="auto"/>
              <w:left w:val="nil"/>
              <w:bottom w:val="nil"/>
              <w:right w:val="single" w:sz="12" w:space="0" w:color="auto"/>
            </w:tcBorders>
            <w:shd w:val="clear" w:color="auto" w:fill="E8E8E8"/>
            <w:hideMark/>
          </w:tcPr>
          <w:p w14:paraId="5D29F3A1" w14:textId="270AF784"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026/27</w:t>
            </w:r>
          </w:p>
        </w:tc>
        <w:tc>
          <w:tcPr>
            <w:tcW w:w="1172" w:type="dxa"/>
            <w:tcBorders>
              <w:top w:val="single" w:sz="12" w:space="0" w:color="auto"/>
              <w:left w:val="nil"/>
              <w:bottom w:val="nil"/>
              <w:right w:val="single" w:sz="12" w:space="0" w:color="auto"/>
            </w:tcBorders>
            <w:shd w:val="clear" w:color="auto" w:fill="E8E8E8"/>
            <w:hideMark/>
          </w:tcPr>
          <w:p w14:paraId="2D744AEB" w14:textId="530B95A6"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027/28</w:t>
            </w:r>
          </w:p>
        </w:tc>
        <w:tc>
          <w:tcPr>
            <w:tcW w:w="1172" w:type="dxa"/>
            <w:tcBorders>
              <w:top w:val="single" w:sz="12" w:space="0" w:color="auto"/>
              <w:left w:val="nil"/>
              <w:bottom w:val="nil"/>
              <w:right w:val="single" w:sz="12" w:space="0" w:color="auto"/>
            </w:tcBorders>
            <w:shd w:val="clear" w:color="auto" w:fill="E8E8E8"/>
            <w:hideMark/>
          </w:tcPr>
          <w:p w14:paraId="616AF4A2" w14:textId="7BE97E37"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028/29</w:t>
            </w:r>
          </w:p>
        </w:tc>
        <w:tc>
          <w:tcPr>
            <w:tcW w:w="1185" w:type="dxa"/>
            <w:tcBorders>
              <w:top w:val="single" w:sz="12" w:space="0" w:color="auto"/>
              <w:left w:val="nil"/>
              <w:bottom w:val="nil"/>
              <w:right w:val="single" w:sz="12" w:space="0" w:color="auto"/>
            </w:tcBorders>
            <w:shd w:val="clear" w:color="auto" w:fill="E8E8E8"/>
            <w:hideMark/>
          </w:tcPr>
          <w:p w14:paraId="5F37CDD5" w14:textId="6D0AEF5B"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029/30</w:t>
            </w:r>
          </w:p>
        </w:tc>
      </w:tr>
      <w:tr w:rsidR="005A0712" w:rsidRPr="008D21C4" w14:paraId="018DFFE1" w14:textId="77777777" w:rsidTr="0BC0C58E">
        <w:trPr>
          <w:trHeight w:val="270"/>
        </w:trPr>
        <w:tc>
          <w:tcPr>
            <w:tcW w:w="1125" w:type="dxa"/>
            <w:tcBorders>
              <w:top w:val="nil"/>
              <w:left w:val="single" w:sz="12" w:space="0" w:color="auto"/>
              <w:bottom w:val="single" w:sz="12" w:space="0" w:color="auto"/>
              <w:right w:val="single" w:sz="4" w:space="0" w:color="auto"/>
            </w:tcBorders>
            <w:shd w:val="clear" w:color="auto" w:fill="E8E8E8"/>
            <w:noWrap/>
            <w:vAlign w:val="bottom"/>
            <w:hideMark/>
          </w:tcPr>
          <w:p w14:paraId="07721F83"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4036" w:type="dxa"/>
            <w:tcBorders>
              <w:top w:val="nil"/>
              <w:left w:val="single" w:sz="12" w:space="0" w:color="auto"/>
              <w:bottom w:val="single" w:sz="12" w:space="0" w:color="auto"/>
              <w:right w:val="single" w:sz="12" w:space="0" w:color="auto"/>
            </w:tcBorders>
            <w:shd w:val="clear" w:color="auto" w:fill="E8E8E8"/>
            <w:noWrap/>
            <w:vAlign w:val="bottom"/>
            <w:hideMark/>
          </w:tcPr>
          <w:p w14:paraId="402F93DF"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Type of Expenditure / Income </w:t>
            </w:r>
          </w:p>
        </w:tc>
        <w:tc>
          <w:tcPr>
            <w:tcW w:w="1026" w:type="dxa"/>
            <w:tcBorders>
              <w:top w:val="nil"/>
              <w:left w:val="nil"/>
              <w:bottom w:val="single" w:sz="12" w:space="0" w:color="auto"/>
              <w:right w:val="single" w:sz="12" w:space="0" w:color="auto"/>
            </w:tcBorders>
            <w:shd w:val="clear" w:color="auto" w:fill="E8E8E8"/>
            <w:noWrap/>
            <w:vAlign w:val="bottom"/>
            <w:hideMark/>
          </w:tcPr>
          <w:p w14:paraId="7C489D16"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08BF5559"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2F39F0A7"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85" w:type="dxa"/>
            <w:tcBorders>
              <w:top w:val="nil"/>
              <w:left w:val="nil"/>
              <w:bottom w:val="single" w:sz="12" w:space="0" w:color="auto"/>
              <w:right w:val="single" w:sz="12" w:space="0" w:color="auto"/>
            </w:tcBorders>
            <w:shd w:val="clear" w:color="auto" w:fill="E8E8E8"/>
            <w:noWrap/>
            <w:vAlign w:val="bottom"/>
            <w:hideMark/>
          </w:tcPr>
          <w:p w14:paraId="5CD20EC8"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r>
      <w:tr w:rsidR="005A0712" w:rsidRPr="008D21C4" w14:paraId="4D0EE870" w14:textId="77777777" w:rsidTr="0BC0C58E">
        <w:trPr>
          <w:trHeight w:val="270"/>
        </w:trPr>
        <w:tc>
          <w:tcPr>
            <w:tcW w:w="1125" w:type="dxa"/>
            <w:tcBorders>
              <w:top w:val="single" w:sz="4" w:space="0" w:color="auto"/>
              <w:left w:val="single" w:sz="12" w:space="0" w:color="auto"/>
              <w:bottom w:val="single" w:sz="4" w:space="0" w:color="auto"/>
              <w:right w:val="single" w:sz="4" w:space="0" w:color="auto"/>
            </w:tcBorders>
            <w:noWrap/>
            <w:vAlign w:val="bottom"/>
            <w:hideMark/>
          </w:tcPr>
          <w:p w14:paraId="3F9DF976" w14:textId="5DC956A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1,872</w:t>
            </w:r>
          </w:p>
        </w:tc>
        <w:tc>
          <w:tcPr>
            <w:tcW w:w="403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2A77E97A"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Employees</w:t>
            </w:r>
          </w:p>
        </w:tc>
        <w:tc>
          <w:tcPr>
            <w:tcW w:w="1026" w:type="dxa"/>
            <w:tcBorders>
              <w:top w:val="single" w:sz="4" w:space="0" w:color="auto"/>
              <w:left w:val="nil"/>
              <w:bottom w:val="single" w:sz="4" w:space="0" w:color="auto"/>
              <w:right w:val="single" w:sz="4" w:space="0" w:color="auto"/>
            </w:tcBorders>
            <w:noWrap/>
            <w:vAlign w:val="bottom"/>
            <w:hideMark/>
          </w:tcPr>
          <w:p w14:paraId="5544C8CF" w14:textId="545EBBB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1,986</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4AD87EB9" w14:textId="7A30300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2,033</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E824AA8" w14:textId="3EADC84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2,081</w:t>
            </w:r>
          </w:p>
        </w:tc>
        <w:tc>
          <w:tcPr>
            <w:tcW w:w="1185" w:type="dxa"/>
            <w:tcBorders>
              <w:top w:val="single" w:sz="4" w:space="0" w:color="auto"/>
              <w:left w:val="single" w:sz="12" w:space="0" w:color="auto"/>
              <w:bottom w:val="single" w:sz="4" w:space="0" w:color="auto"/>
              <w:right w:val="single" w:sz="12" w:space="0" w:color="auto"/>
            </w:tcBorders>
            <w:noWrap/>
            <w:vAlign w:val="bottom"/>
            <w:hideMark/>
          </w:tcPr>
          <w:p w14:paraId="17770BDD" w14:textId="7713FAE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2,130</w:t>
            </w:r>
          </w:p>
        </w:tc>
      </w:tr>
      <w:tr w:rsidR="005A0712" w:rsidRPr="008D21C4" w14:paraId="0272ADD9"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4FF7F1A5" w14:textId="6B9F593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75FE226D"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Premises</w:t>
            </w:r>
          </w:p>
        </w:tc>
        <w:tc>
          <w:tcPr>
            <w:tcW w:w="1026" w:type="dxa"/>
            <w:tcBorders>
              <w:top w:val="nil"/>
              <w:left w:val="nil"/>
              <w:bottom w:val="single" w:sz="4" w:space="0" w:color="auto"/>
              <w:right w:val="single" w:sz="4" w:space="0" w:color="auto"/>
            </w:tcBorders>
            <w:noWrap/>
            <w:vAlign w:val="bottom"/>
            <w:hideMark/>
          </w:tcPr>
          <w:p w14:paraId="317BA77C" w14:textId="5E59A2F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FD50B7F" w14:textId="1B50108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B2703F7" w14:textId="6DD094A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02D00C40" w14:textId="020035C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1546E15E"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048412F6" w14:textId="492BF2A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4</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59D82986"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Transport</w:t>
            </w:r>
          </w:p>
        </w:tc>
        <w:tc>
          <w:tcPr>
            <w:tcW w:w="1026" w:type="dxa"/>
            <w:tcBorders>
              <w:top w:val="nil"/>
              <w:left w:val="nil"/>
              <w:bottom w:val="single" w:sz="4" w:space="0" w:color="auto"/>
              <w:right w:val="single" w:sz="4" w:space="0" w:color="auto"/>
            </w:tcBorders>
            <w:noWrap/>
            <w:vAlign w:val="bottom"/>
            <w:hideMark/>
          </w:tcPr>
          <w:p w14:paraId="54BDDACD" w14:textId="604D07F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w:t>
            </w:r>
          </w:p>
        </w:tc>
        <w:tc>
          <w:tcPr>
            <w:tcW w:w="1172" w:type="dxa"/>
            <w:tcBorders>
              <w:top w:val="nil"/>
              <w:left w:val="single" w:sz="12" w:space="0" w:color="auto"/>
              <w:bottom w:val="single" w:sz="4" w:space="0" w:color="auto"/>
              <w:right w:val="single" w:sz="4" w:space="0" w:color="auto"/>
            </w:tcBorders>
            <w:noWrap/>
            <w:vAlign w:val="bottom"/>
            <w:hideMark/>
          </w:tcPr>
          <w:p w14:paraId="127FC464" w14:textId="2F17BB4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w:t>
            </w:r>
          </w:p>
        </w:tc>
        <w:tc>
          <w:tcPr>
            <w:tcW w:w="1172" w:type="dxa"/>
            <w:tcBorders>
              <w:top w:val="nil"/>
              <w:left w:val="single" w:sz="12" w:space="0" w:color="auto"/>
              <w:bottom w:val="single" w:sz="4" w:space="0" w:color="auto"/>
              <w:right w:val="single" w:sz="4" w:space="0" w:color="auto"/>
            </w:tcBorders>
            <w:noWrap/>
            <w:vAlign w:val="bottom"/>
            <w:hideMark/>
          </w:tcPr>
          <w:p w14:paraId="4A9DE29B" w14:textId="220515A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w:t>
            </w:r>
          </w:p>
        </w:tc>
        <w:tc>
          <w:tcPr>
            <w:tcW w:w="1185" w:type="dxa"/>
            <w:tcBorders>
              <w:top w:val="nil"/>
              <w:left w:val="single" w:sz="12" w:space="0" w:color="auto"/>
              <w:bottom w:val="single" w:sz="4" w:space="0" w:color="auto"/>
              <w:right w:val="single" w:sz="12" w:space="0" w:color="auto"/>
            </w:tcBorders>
            <w:noWrap/>
            <w:vAlign w:val="bottom"/>
            <w:hideMark/>
          </w:tcPr>
          <w:p w14:paraId="260B2994" w14:textId="63E5E08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w:t>
            </w:r>
          </w:p>
        </w:tc>
      </w:tr>
      <w:tr w:rsidR="005A0712" w:rsidRPr="008D21C4" w14:paraId="248890F4"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5B409B61" w14:textId="3608436A"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(284)</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5895B5F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Supplies and Services</w:t>
            </w:r>
          </w:p>
        </w:tc>
        <w:tc>
          <w:tcPr>
            <w:tcW w:w="1026" w:type="dxa"/>
            <w:tcBorders>
              <w:top w:val="nil"/>
              <w:left w:val="nil"/>
              <w:bottom w:val="single" w:sz="4" w:space="0" w:color="auto"/>
              <w:right w:val="single" w:sz="4" w:space="0" w:color="auto"/>
            </w:tcBorders>
            <w:noWrap/>
            <w:vAlign w:val="bottom"/>
            <w:hideMark/>
          </w:tcPr>
          <w:p w14:paraId="0272F437" w14:textId="4C988C4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1,273</w:t>
            </w:r>
          </w:p>
        </w:tc>
        <w:tc>
          <w:tcPr>
            <w:tcW w:w="1172" w:type="dxa"/>
            <w:tcBorders>
              <w:top w:val="nil"/>
              <w:left w:val="single" w:sz="12" w:space="0" w:color="auto"/>
              <w:bottom w:val="single" w:sz="4" w:space="0" w:color="auto"/>
              <w:right w:val="single" w:sz="4" w:space="0" w:color="auto"/>
            </w:tcBorders>
            <w:noWrap/>
            <w:vAlign w:val="bottom"/>
            <w:hideMark/>
          </w:tcPr>
          <w:p w14:paraId="0F0FA4E5" w14:textId="5159437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559</w:t>
            </w:r>
          </w:p>
        </w:tc>
        <w:tc>
          <w:tcPr>
            <w:tcW w:w="1172" w:type="dxa"/>
            <w:tcBorders>
              <w:top w:val="nil"/>
              <w:left w:val="single" w:sz="12" w:space="0" w:color="auto"/>
              <w:bottom w:val="single" w:sz="4" w:space="0" w:color="auto"/>
              <w:right w:val="single" w:sz="4" w:space="0" w:color="auto"/>
            </w:tcBorders>
            <w:noWrap/>
            <w:vAlign w:val="bottom"/>
            <w:hideMark/>
          </w:tcPr>
          <w:p w14:paraId="6635A089" w14:textId="1D0EF70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574</w:t>
            </w:r>
          </w:p>
        </w:tc>
        <w:tc>
          <w:tcPr>
            <w:tcW w:w="1185" w:type="dxa"/>
            <w:tcBorders>
              <w:top w:val="nil"/>
              <w:left w:val="single" w:sz="12" w:space="0" w:color="auto"/>
              <w:bottom w:val="single" w:sz="4" w:space="0" w:color="auto"/>
              <w:right w:val="single" w:sz="12" w:space="0" w:color="auto"/>
            </w:tcBorders>
            <w:noWrap/>
            <w:vAlign w:val="bottom"/>
            <w:hideMark/>
          </w:tcPr>
          <w:p w14:paraId="325C9338" w14:textId="71468C1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589</w:t>
            </w:r>
          </w:p>
        </w:tc>
      </w:tr>
      <w:tr w:rsidR="005A0712" w:rsidRPr="008D21C4" w14:paraId="7816DA05"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262DB0AA" w14:textId="195191C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41DF434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Third Party Payments</w:t>
            </w:r>
          </w:p>
        </w:tc>
        <w:tc>
          <w:tcPr>
            <w:tcW w:w="1026" w:type="dxa"/>
            <w:tcBorders>
              <w:top w:val="nil"/>
              <w:left w:val="nil"/>
              <w:bottom w:val="single" w:sz="4" w:space="0" w:color="auto"/>
              <w:right w:val="single" w:sz="4" w:space="0" w:color="auto"/>
            </w:tcBorders>
            <w:noWrap/>
            <w:vAlign w:val="bottom"/>
            <w:hideMark/>
          </w:tcPr>
          <w:p w14:paraId="2D2596C6" w14:textId="50264C5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615ED71" w14:textId="15D56E2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242D4C7" w14:textId="43E4A30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38E9B022" w14:textId="1FCB2A9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7DD3C75"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1FB6F192" w14:textId="11BE83F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485E3C57" w14:textId="2B33474A" w:rsidR="00CD6EE7" w:rsidRPr="008D21C4" w:rsidRDefault="00B67584" w:rsidP="00CD6EE7">
            <w:pPr>
              <w:rPr>
                <w:rFonts w:eastAsia="Times New Roman" w:cs="Times New Roman"/>
                <w:b/>
                <w:bCs/>
                <w:color w:val="000000"/>
                <w:kern w:val="0"/>
                <w:sz w:val="20"/>
                <w:szCs w:val="20"/>
                <w:lang w:eastAsia="en-GB"/>
                <w14:ligatures w14:val="none"/>
              </w:rPr>
            </w:pPr>
            <w:r w:rsidRPr="008D21C4">
              <w:rPr>
                <w:rFonts w:eastAsia="Times New Roman" w:cs="Times New Roman"/>
                <w:b/>
                <w:color w:val="000000"/>
                <w:kern w:val="0"/>
                <w:sz w:val="20"/>
                <w:szCs w:val="20"/>
                <w:lang w:eastAsia="en-GB"/>
                <w14:ligatures w14:val="none"/>
              </w:rPr>
              <w:t>Corporat</w:t>
            </w:r>
            <w:r>
              <w:rPr>
                <w:rFonts w:eastAsia="Times New Roman" w:cs="Times New Roman"/>
                <w:b/>
                <w:color w:val="000000"/>
                <w:kern w:val="0"/>
                <w:sz w:val="20"/>
                <w:szCs w:val="20"/>
                <w:lang w:eastAsia="en-GB"/>
                <w14:ligatures w14:val="none"/>
              </w:rPr>
              <w:t>e Support Recharges</w:t>
            </w:r>
          </w:p>
        </w:tc>
        <w:tc>
          <w:tcPr>
            <w:tcW w:w="1026" w:type="dxa"/>
            <w:tcBorders>
              <w:top w:val="nil"/>
              <w:left w:val="nil"/>
              <w:bottom w:val="single" w:sz="4" w:space="0" w:color="auto"/>
              <w:right w:val="single" w:sz="4" w:space="0" w:color="auto"/>
            </w:tcBorders>
            <w:noWrap/>
            <w:vAlign w:val="bottom"/>
            <w:hideMark/>
          </w:tcPr>
          <w:p w14:paraId="623DA853" w14:textId="400B114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26F665E" w14:textId="476B927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6B72BC5" w14:textId="236B4AF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2C16F5B7" w14:textId="382B0AD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F386349" w14:textId="77777777" w:rsidTr="0BC0C58E">
        <w:trPr>
          <w:trHeight w:val="270"/>
        </w:trPr>
        <w:tc>
          <w:tcPr>
            <w:tcW w:w="1125" w:type="dxa"/>
            <w:tcBorders>
              <w:top w:val="nil"/>
              <w:left w:val="single" w:sz="12" w:space="0" w:color="auto"/>
              <w:bottom w:val="single" w:sz="4" w:space="0" w:color="auto"/>
              <w:right w:val="single" w:sz="4" w:space="0" w:color="auto"/>
            </w:tcBorders>
            <w:noWrap/>
            <w:vAlign w:val="bottom"/>
            <w:hideMark/>
          </w:tcPr>
          <w:p w14:paraId="4D651936" w14:textId="7EDC355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3A851C1C" w14:textId="78418781" w:rsidR="00CD6EE7" w:rsidRPr="008D21C4" w:rsidRDefault="00E0706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Central Costs</w:t>
            </w:r>
          </w:p>
        </w:tc>
        <w:tc>
          <w:tcPr>
            <w:tcW w:w="1026" w:type="dxa"/>
            <w:tcBorders>
              <w:top w:val="nil"/>
              <w:left w:val="nil"/>
              <w:bottom w:val="single" w:sz="4" w:space="0" w:color="auto"/>
              <w:right w:val="single" w:sz="4" w:space="0" w:color="auto"/>
            </w:tcBorders>
            <w:noWrap/>
            <w:vAlign w:val="bottom"/>
            <w:hideMark/>
          </w:tcPr>
          <w:p w14:paraId="1F9442CE" w14:textId="7F067490"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5D38A24" w14:textId="01533C0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F674E7B" w14:textId="0391204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693AC8DB" w14:textId="324F806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25E2A17F" w14:textId="77777777" w:rsidTr="0BC0C58E">
        <w:trPr>
          <w:trHeight w:val="280"/>
        </w:trPr>
        <w:tc>
          <w:tcPr>
            <w:tcW w:w="112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0145A650" w14:textId="710FE52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1,592</w:t>
            </w:r>
          </w:p>
        </w:tc>
        <w:tc>
          <w:tcPr>
            <w:tcW w:w="403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680A06C7"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Expenditure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63B2F794" w14:textId="5B047BC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3,265</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3D0D4A9" w14:textId="3959589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2,598</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D7B46D0" w14:textId="1B6F9F4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2,661</w:t>
            </w:r>
          </w:p>
        </w:tc>
        <w:tc>
          <w:tcPr>
            <w:tcW w:w="1185"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D587739" w14:textId="66271D1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2,725</w:t>
            </w:r>
          </w:p>
        </w:tc>
      </w:tr>
      <w:tr w:rsidR="005A0712" w:rsidRPr="008D21C4" w14:paraId="2ADF3624" w14:textId="77777777" w:rsidTr="0BC0C58E">
        <w:trPr>
          <w:trHeight w:val="270"/>
        </w:trPr>
        <w:tc>
          <w:tcPr>
            <w:tcW w:w="1125" w:type="dxa"/>
            <w:tcBorders>
              <w:top w:val="single" w:sz="4" w:space="0" w:color="auto"/>
              <w:left w:val="single" w:sz="12" w:space="0" w:color="auto"/>
              <w:bottom w:val="single" w:sz="4" w:space="0" w:color="auto"/>
              <w:right w:val="single" w:sz="4" w:space="0" w:color="auto"/>
            </w:tcBorders>
            <w:noWrap/>
            <w:vAlign w:val="bottom"/>
            <w:hideMark/>
          </w:tcPr>
          <w:p w14:paraId="025A4C2C" w14:textId="1B2E27B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5D28EEF4"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Charges</w:t>
            </w:r>
          </w:p>
        </w:tc>
        <w:tc>
          <w:tcPr>
            <w:tcW w:w="1026" w:type="dxa"/>
            <w:tcBorders>
              <w:top w:val="single" w:sz="4" w:space="0" w:color="auto"/>
              <w:left w:val="nil"/>
              <w:bottom w:val="single" w:sz="4" w:space="0" w:color="auto"/>
              <w:right w:val="single" w:sz="4" w:space="0" w:color="auto"/>
            </w:tcBorders>
            <w:noWrap/>
            <w:vAlign w:val="bottom"/>
            <w:hideMark/>
          </w:tcPr>
          <w:p w14:paraId="0663DE9D" w14:textId="05949B9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(100)</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405FDA98" w14:textId="31225A62"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(100)</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851BD7B" w14:textId="0DF2299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(100)</w:t>
            </w:r>
          </w:p>
        </w:tc>
        <w:tc>
          <w:tcPr>
            <w:tcW w:w="1185" w:type="dxa"/>
            <w:tcBorders>
              <w:top w:val="single" w:sz="4" w:space="0" w:color="auto"/>
              <w:left w:val="single" w:sz="12" w:space="0" w:color="auto"/>
              <w:bottom w:val="single" w:sz="4" w:space="0" w:color="auto"/>
              <w:right w:val="single" w:sz="12" w:space="0" w:color="auto"/>
            </w:tcBorders>
            <w:noWrap/>
            <w:vAlign w:val="bottom"/>
            <w:hideMark/>
          </w:tcPr>
          <w:p w14:paraId="32DEDD5E" w14:textId="1E330E81"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(100)</w:t>
            </w:r>
          </w:p>
        </w:tc>
      </w:tr>
      <w:tr w:rsidR="005A0712" w:rsidRPr="008D21C4" w14:paraId="20024216"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502CD87F" w14:textId="2161CBA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637A5CA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Grant</w:t>
            </w:r>
          </w:p>
        </w:tc>
        <w:tc>
          <w:tcPr>
            <w:tcW w:w="1026" w:type="dxa"/>
            <w:tcBorders>
              <w:top w:val="nil"/>
              <w:left w:val="nil"/>
              <w:bottom w:val="single" w:sz="4" w:space="0" w:color="auto"/>
              <w:right w:val="single" w:sz="4" w:space="0" w:color="auto"/>
            </w:tcBorders>
            <w:noWrap/>
            <w:vAlign w:val="bottom"/>
            <w:hideMark/>
          </w:tcPr>
          <w:p w14:paraId="684218D6" w14:textId="53ACD87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ABFA83A" w14:textId="574157F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5A594C9" w14:textId="102B721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2C49A316" w14:textId="47BA0C8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F6E4048"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11ADF739" w14:textId="2660890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59F20625"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Recharges</w:t>
            </w:r>
          </w:p>
        </w:tc>
        <w:tc>
          <w:tcPr>
            <w:tcW w:w="1026" w:type="dxa"/>
            <w:tcBorders>
              <w:top w:val="nil"/>
              <w:left w:val="nil"/>
              <w:bottom w:val="single" w:sz="4" w:space="0" w:color="auto"/>
              <w:right w:val="single" w:sz="4" w:space="0" w:color="auto"/>
            </w:tcBorders>
            <w:noWrap/>
            <w:vAlign w:val="bottom"/>
            <w:hideMark/>
          </w:tcPr>
          <w:p w14:paraId="34E29B60" w14:textId="57A2B7B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46F74DC" w14:textId="399E479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2E30498" w14:textId="6D6C0B8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0A3431FC" w14:textId="1B7D605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63303FA2"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13A4B252" w14:textId="21EBE13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3059B50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CSR</w:t>
            </w:r>
          </w:p>
        </w:tc>
        <w:tc>
          <w:tcPr>
            <w:tcW w:w="1026" w:type="dxa"/>
            <w:tcBorders>
              <w:top w:val="nil"/>
              <w:left w:val="nil"/>
              <w:bottom w:val="single" w:sz="4" w:space="0" w:color="auto"/>
              <w:right w:val="single" w:sz="4" w:space="0" w:color="auto"/>
            </w:tcBorders>
            <w:noWrap/>
            <w:vAlign w:val="bottom"/>
            <w:hideMark/>
          </w:tcPr>
          <w:p w14:paraId="7C839593" w14:textId="33E60FB9"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(3,165)</w:t>
            </w:r>
          </w:p>
        </w:tc>
        <w:tc>
          <w:tcPr>
            <w:tcW w:w="1172" w:type="dxa"/>
            <w:tcBorders>
              <w:top w:val="nil"/>
              <w:left w:val="single" w:sz="12" w:space="0" w:color="auto"/>
              <w:bottom w:val="single" w:sz="4" w:space="0" w:color="auto"/>
              <w:right w:val="single" w:sz="4" w:space="0" w:color="auto"/>
            </w:tcBorders>
            <w:noWrap/>
            <w:vAlign w:val="bottom"/>
            <w:hideMark/>
          </w:tcPr>
          <w:p w14:paraId="5F0E3125" w14:textId="1BF5FA6F"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(2,498)</w:t>
            </w:r>
          </w:p>
        </w:tc>
        <w:tc>
          <w:tcPr>
            <w:tcW w:w="1172" w:type="dxa"/>
            <w:tcBorders>
              <w:top w:val="nil"/>
              <w:left w:val="single" w:sz="12" w:space="0" w:color="auto"/>
              <w:bottom w:val="single" w:sz="4" w:space="0" w:color="auto"/>
              <w:right w:val="single" w:sz="4" w:space="0" w:color="auto"/>
            </w:tcBorders>
            <w:noWrap/>
            <w:vAlign w:val="bottom"/>
            <w:hideMark/>
          </w:tcPr>
          <w:p w14:paraId="3E804550" w14:textId="4695401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(2,561)</w:t>
            </w:r>
          </w:p>
        </w:tc>
        <w:tc>
          <w:tcPr>
            <w:tcW w:w="1185" w:type="dxa"/>
            <w:tcBorders>
              <w:top w:val="nil"/>
              <w:left w:val="single" w:sz="12" w:space="0" w:color="auto"/>
              <w:bottom w:val="single" w:sz="4" w:space="0" w:color="auto"/>
              <w:right w:val="single" w:sz="12" w:space="0" w:color="auto"/>
            </w:tcBorders>
            <w:noWrap/>
            <w:vAlign w:val="bottom"/>
            <w:hideMark/>
          </w:tcPr>
          <w:p w14:paraId="59EFE4FA" w14:textId="66C80B3E"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(2,625)</w:t>
            </w:r>
          </w:p>
        </w:tc>
      </w:tr>
      <w:tr w:rsidR="005A0712" w:rsidRPr="008D21C4" w14:paraId="4BBE8296"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4D060A82" w14:textId="3D5AB54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7BCE033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Summary</w:t>
            </w:r>
          </w:p>
        </w:tc>
        <w:tc>
          <w:tcPr>
            <w:tcW w:w="1026" w:type="dxa"/>
            <w:tcBorders>
              <w:top w:val="nil"/>
              <w:left w:val="nil"/>
              <w:bottom w:val="single" w:sz="4" w:space="0" w:color="auto"/>
              <w:right w:val="single" w:sz="4" w:space="0" w:color="auto"/>
            </w:tcBorders>
            <w:noWrap/>
            <w:vAlign w:val="bottom"/>
            <w:hideMark/>
          </w:tcPr>
          <w:p w14:paraId="295DC3E6" w14:textId="54462CD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D311883" w14:textId="1011CB4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F8617C8" w14:textId="7997BAC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464B245B" w14:textId="3FFCDFE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279705F6"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66A491ED" w14:textId="3FC260E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527F1E58"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Bank Interest</w:t>
            </w:r>
          </w:p>
        </w:tc>
        <w:tc>
          <w:tcPr>
            <w:tcW w:w="1026" w:type="dxa"/>
            <w:tcBorders>
              <w:top w:val="nil"/>
              <w:left w:val="nil"/>
              <w:bottom w:val="single" w:sz="4" w:space="0" w:color="auto"/>
              <w:right w:val="single" w:sz="4" w:space="0" w:color="auto"/>
            </w:tcBorders>
            <w:noWrap/>
            <w:vAlign w:val="bottom"/>
            <w:hideMark/>
          </w:tcPr>
          <w:p w14:paraId="71BBE95C" w14:textId="6899D7F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0F474FE" w14:textId="4956A15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D3916CE" w14:textId="1E0765B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222CB135" w14:textId="343FB93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28F317FD" w14:textId="77777777" w:rsidTr="0BC0C58E">
        <w:trPr>
          <w:trHeight w:val="260"/>
        </w:trPr>
        <w:tc>
          <w:tcPr>
            <w:tcW w:w="1125" w:type="dxa"/>
            <w:tcBorders>
              <w:top w:val="nil"/>
              <w:left w:val="single" w:sz="12" w:space="0" w:color="auto"/>
              <w:bottom w:val="single" w:sz="4" w:space="0" w:color="auto"/>
              <w:right w:val="single" w:sz="4" w:space="0" w:color="auto"/>
            </w:tcBorders>
            <w:noWrap/>
            <w:vAlign w:val="bottom"/>
            <w:hideMark/>
          </w:tcPr>
          <w:p w14:paraId="67CC81AF" w14:textId="600D219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2B98162E" w14:textId="4230317B" w:rsidR="00CD6EE7" w:rsidRPr="008D21C4" w:rsidRDefault="00866ED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Inter</w:t>
            </w:r>
            <w:r w:rsidR="00283E83" w:rsidRPr="008D21C4">
              <w:rPr>
                <w:rFonts w:eastAsia="Times New Roman" w:cs="Times New Roman"/>
                <w:b/>
                <w:bCs/>
                <w:color w:val="000000"/>
                <w:kern w:val="0"/>
                <w:sz w:val="20"/>
                <w:szCs w:val="20"/>
                <w:lang w:eastAsia="en-GB"/>
                <w14:ligatures w14:val="none"/>
              </w:rPr>
              <w:t>e</w:t>
            </w:r>
            <w:r w:rsidRPr="008D21C4">
              <w:rPr>
                <w:rFonts w:eastAsia="Times New Roman" w:cs="Times New Roman"/>
                <w:b/>
                <w:bCs/>
                <w:color w:val="000000"/>
                <w:kern w:val="0"/>
                <w:sz w:val="20"/>
                <w:szCs w:val="20"/>
                <w:lang w:eastAsia="en-GB"/>
                <w14:ligatures w14:val="none"/>
              </w:rPr>
              <w:t>st</w:t>
            </w:r>
            <w:r w:rsidR="00CD6EE7" w:rsidRPr="008D21C4">
              <w:rPr>
                <w:rFonts w:eastAsia="Times New Roman" w:cs="Times New Roman"/>
                <w:b/>
                <w:bCs/>
                <w:color w:val="000000"/>
                <w:kern w:val="0"/>
                <w:sz w:val="20"/>
                <w:szCs w:val="20"/>
                <w:lang w:eastAsia="en-GB"/>
                <w14:ligatures w14:val="none"/>
              </w:rPr>
              <w:t xml:space="preserve"> From Investments</w:t>
            </w:r>
          </w:p>
        </w:tc>
        <w:tc>
          <w:tcPr>
            <w:tcW w:w="1026" w:type="dxa"/>
            <w:tcBorders>
              <w:top w:val="nil"/>
              <w:left w:val="nil"/>
              <w:bottom w:val="single" w:sz="4" w:space="0" w:color="auto"/>
              <w:right w:val="single" w:sz="4" w:space="0" w:color="auto"/>
            </w:tcBorders>
            <w:noWrap/>
            <w:vAlign w:val="bottom"/>
            <w:hideMark/>
          </w:tcPr>
          <w:p w14:paraId="0497A301" w14:textId="4F8EF6D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8550AFF" w14:textId="5724C20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193A3DE" w14:textId="70767E5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18023D37" w14:textId="0560C2C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141D895B" w14:textId="77777777" w:rsidTr="0BC0C58E">
        <w:trPr>
          <w:trHeight w:val="270"/>
        </w:trPr>
        <w:tc>
          <w:tcPr>
            <w:tcW w:w="1125" w:type="dxa"/>
            <w:tcBorders>
              <w:top w:val="nil"/>
              <w:left w:val="single" w:sz="12" w:space="0" w:color="auto"/>
              <w:bottom w:val="single" w:sz="4" w:space="0" w:color="auto"/>
              <w:right w:val="single" w:sz="4" w:space="0" w:color="auto"/>
            </w:tcBorders>
            <w:noWrap/>
            <w:vAlign w:val="bottom"/>
            <w:hideMark/>
          </w:tcPr>
          <w:p w14:paraId="10EBFBF3" w14:textId="77A66CC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482D497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Rents</w:t>
            </w:r>
          </w:p>
        </w:tc>
        <w:tc>
          <w:tcPr>
            <w:tcW w:w="1026" w:type="dxa"/>
            <w:tcBorders>
              <w:top w:val="nil"/>
              <w:left w:val="nil"/>
              <w:bottom w:val="single" w:sz="4" w:space="0" w:color="auto"/>
              <w:right w:val="single" w:sz="4" w:space="0" w:color="auto"/>
            </w:tcBorders>
            <w:noWrap/>
            <w:vAlign w:val="bottom"/>
            <w:hideMark/>
          </w:tcPr>
          <w:p w14:paraId="0C694F6A" w14:textId="5AFE819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F184F34" w14:textId="4D919D1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2A3527D" w14:textId="3D86DDE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6EA03BA8" w14:textId="32AF306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53B09DB" w14:textId="77777777" w:rsidTr="0BC0C58E">
        <w:trPr>
          <w:trHeight w:val="280"/>
        </w:trPr>
        <w:tc>
          <w:tcPr>
            <w:tcW w:w="112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C2B1C22" w14:textId="470A7FC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2CE3276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Income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216B9F91" w14:textId="05E1BC4A"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(3,265)</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8D54EE6" w14:textId="40010B92"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(2,598)</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A40A37F" w14:textId="0325ABB8"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(2,661)</w:t>
            </w:r>
          </w:p>
        </w:tc>
        <w:tc>
          <w:tcPr>
            <w:tcW w:w="118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CCD2616" w14:textId="573976DA"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(2,725)</w:t>
            </w:r>
          </w:p>
        </w:tc>
      </w:tr>
      <w:tr w:rsidR="005A0712" w:rsidRPr="008D21C4" w14:paraId="47B32B6C" w14:textId="77777777" w:rsidTr="0BC0C58E">
        <w:trPr>
          <w:trHeight w:val="280"/>
        </w:trPr>
        <w:tc>
          <w:tcPr>
            <w:tcW w:w="1125" w:type="dxa"/>
            <w:tcBorders>
              <w:top w:val="nil"/>
              <w:left w:val="single" w:sz="12" w:space="0" w:color="auto"/>
              <w:bottom w:val="single" w:sz="12" w:space="0" w:color="auto"/>
              <w:right w:val="single" w:sz="4" w:space="0" w:color="auto"/>
            </w:tcBorders>
            <w:shd w:val="clear" w:color="auto" w:fill="E8E8E8"/>
            <w:noWrap/>
            <w:vAlign w:val="bottom"/>
            <w:hideMark/>
          </w:tcPr>
          <w:p w14:paraId="74F61E07" w14:textId="5DC1D9B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1,592</w:t>
            </w:r>
          </w:p>
        </w:tc>
        <w:tc>
          <w:tcPr>
            <w:tcW w:w="4036" w:type="dxa"/>
            <w:tcBorders>
              <w:top w:val="nil"/>
              <w:left w:val="single" w:sz="12" w:space="0" w:color="auto"/>
              <w:bottom w:val="single" w:sz="12" w:space="0" w:color="auto"/>
              <w:right w:val="single" w:sz="12" w:space="0" w:color="auto"/>
            </w:tcBorders>
            <w:shd w:val="clear" w:color="auto" w:fill="E8E8E8"/>
            <w:noWrap/>
            <w:vAlign w:val="bottom"/>
            <w:hideMark/>
          </w:tcPr>
          <w:p w14:paraId="20EADBF8"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(Income)</w:t>
            </w:r>
          </w:p>
        </w:tc>
        <w:tc>
          <w:tcPr>
            <w:tcW w:w="1026" w:type="dxa"/>
            <w:tcBorders>
              <w:top w:val="nil"/>
              <w:left w:val="nil"/>
              <w:bottom w:val="single" w:sz="12" w:space="0" w:color="auto"/>
              <w:right w:val="single" w:sz="4" w:space="0" w:color="auto"/>
            </w:tcBorders>
            <w:shd w:val="clear" w:color="auto" w:fill="E8E8E8"/>
            <w:noWrap/>
            <w:vAlign w:val="bottom"/>
            <w:hideMark/>
          </w:tcPr>
          <w:p w14:paraId="6D058272" w14:textId="3E8F2DDC" w:rsidR="00CD6EE7" w:rsidRPr="008D21C4" w:rsidRDefault="00C93192" w:rsidP="00A446F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076A48F4" w14:textId="47AE4D83"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137D5DBC" w14:textId="44218D18" w:rsidR="00CD6EE7" w:rsidRPr="008D21C4" w:rsidRDefault="00C93192" w:rsidP="00A446F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12" w:space="0" w:color="auto"/>
              <w:right w:val="single" w:sz="4" w:space="0" w:color="auto"/>
            </w:tcBorders>
            <w:shd w:val="clear" w:color="auto" w:fill="E8E8E8"/>
            <w:noWrap/>
            <w:vAlign w:val="bottom"/>
            <w:hideMark/>
          </w:tcPr>
          <w:p w14:paraId="4B81A567" w14:textId="2F476F82"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r>
      <w:tr w:rsidR="005A0712" w:rsidRPr="008D21C4" w14:paraId="2F7E940C" w14:textId="77777777" w:rsidTr="0BC0C58E">
        <w:trPr>
          <w:trHeight w:val="270"/>
        </w:trPr>
        <w:tc>
          <w:tcPr>
            <w:tcW w:w="1125" w:type="dxa"/>
            <w:tcBorders>
              <w:top w:val="single" w:sz="4" w:space="0" w:color="auto"/>
              <w:left w:val="single" w:sz="12" w:space="0" w:color="auto"/>
              <w:bottom w:val="single" w:sz="4" w:space="0" w:color="auto"/>
              <w:right w:val="single" w:sz="4" w:space="0" w:color="auto"/>
            </w:tcBorders>
            <w:noWrap/>
            <w:vAlign w:val="bottom"/>
            <w:hideMark/>
          </w:tcPr>
          <w:p w14:paraId="3F95A141" w14:textId="0ACBF8A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6A581E57"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from Reserves</w:t>
            </w:r>
          </w:p>
        </w:tc>
        <w:tc>
          <w:tcPr>
            <w:tcW w:w="1026" w:type="dxa"/>
            <w:tcBorders>
              <w:top w:val="single" w:sz="4" w:space="0" w:color="auto"/>
              <w:left w:val="nil"/>
              <w:bottom w:val="single" w:sz="4" w:space="0" w:color="auto"/>
              <w:right w:val="single" w:sz="4" w:space="0" w:color="auto"/>
            </w:tcBorders>
            <w:noWrap/>
            <w:vAlign w:val="bottom"/>
            <w:hideMark/>
          </w:tcPr>
          <w:p w14:paraId="5190E6BE" w14:textId="08409F9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EF0D985" w14:textId="0BD10BB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8D59CA2" w14:textId="31BABBB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single" w:sz="4" w:space="0" w:color="auto"/>
              <w:left w:val="single" w:sz="12" w:space="0" w:color="auto"/>
              <w:bottom w:val="single" w:sz="4" w:space="0" w:color="auto"/>
              <w:right w:val="single" w:sz="12" w:space="0" w:color="auto"/>
            </w:tcBorders>
            <w:noWrap/>
            <w:vAlign w:val="bottom"/>
            <w:hideMark/>
          </w:tcPr>
          <w:p w14:paraId="75E6BA1B" w14:textId="0B0711E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459D9A22" w14:textId="77777777" w:rsidTr="0BC0C58E">
        <w:trPr>
          <w:trHeight w:val="270"/>
        </w:trPr>
        <w:tc>
          <w:tcPr>
            <w:tcW w:w="1125" w:type="dxa"/>
            <w:tcBorders>
              <w:top w:val="nil"/>
              <w:left w:val="single" w:sz="12" w:space="0" w:color="auto"/>
              <w:bottom w:val="single" w:sz="4" w:space="0" w:color="auto"/>
              <w:right w:val="single" w:sz="4" w:space="0" w:color="auto"/>
            </w:tcBorders>
            <w:noWrap/>
            <w:vAlign w:val="bottom"/>
            <w:hideMark/>
          </w:tcPr>
          <w:p w14:paraId="26025C1D" w14:textId="37B8FF0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36" w:type="dxa"/>
            <w:tcBorders>
              <w:top w:val="nil"/>
              <w:left w:val="single" w:sz="12" w:space="0" w:color="auto"/>
              <w:bottom w:val="single" w:sz="4" w:space="0" w:color="auto"/>
              <w:right w:val="single" w:sz="12" w:space="0" w:color="auto"/>
            </w:tcBorders>
            <w:shd w:val="clear" w:color="auto" w:fill="E8E8E8"/>
            <w:vAlign w:val="bottom"/>
            <w:hideMark/>
          </w:tcPr>
          <w:p w14:paraId="4394908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To Reserves</w:t>
            </w:r>
          </w:p>
        </w:tc>
        <w:tc>
          <w:tcPr>
            <w:tcW w:w="1026" w:type="dxa"/>
            <w:tcBorders>
              <w:top w:val="nil"/>
              <w:left w:val="nil"/>
              <w:bottom w:val="single" w:sz="4" w:space="0" w:color="auto"/>
              <w:right w:val="single" w:sz="4" w:space="0" w:color="auto"/>
            </w:tcBorders>
            <w:noWrap/>
            <w:vAlign w:val="bottom"/>
            <w:hideMark/>
          </w:tcPr>
          <w:p w14:paraId="3578D279" w14:textId="2F6A823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72F4079" w14:textId="5949002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AC95DF6" w14:textId="0B807E10"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85" w:type="dxa"/>
            <w:tcBorders>
              <w:top w:val="nil"/>
              <w:left w:val="single" w:sz="12" w:space="0" w:color="auto"/>
              <w:bottom w:val="single" w:sz="4" w:space="0" w:color="auto"/>
              <w:right w:val="single" w:sz="12" w:space="0" w:color="auto"/>
            </w:tcBorders>
            <w:noWrap/>
            <w:vAlign w:val="bottom"/>
            <w:hideMark/>
          </w:tcPr>
          <w:p w14:paraId="4A2697E2" w14:textId="1E5AC4D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55DCDCAF" w14:textId="77777777" w:rsidTr="0BC0C58E">
        <w:trPr>
          <w:trHeight w:val="280"/>
        </w:trPr>
        <w:tc>
          <w:tcPr>
            <w:tcW w:w="112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A2EECCF" w14:textId="54967CA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1,592</w:t>
            </w:r>
          </w:p>
        </w:tc>
        <w:tc>
          <w:tcPr>
            <w:tcW w:w="403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053F8E9B" w14:textId="1B9E4532"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after Contribution to/(From) Reserves</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724E75C5" w14:textId="3AB7BEDE" w:rsidR="00CD6EE7" w:rsidRPr="008D21C4" w:rsidRDefault="00C93192" w:rsidP="00A446F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708FFE0" w14:textId="6E5312E8"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F4D1136" w14:textId="0C263261" w:rsidR="00CD6EE7" w:rsidRPr="008D21C4" w:rsidRDefault="00C93192" w:rsidP="00A446F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8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0A9A207C" w14:textId="73262773"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r>
    </w:tbl>
    <w:p w14:paraId="791491EB" w14:textId="77777777" w:rsidR="001716C7" w:rsidRDefault="001716C7">
      <w:r>
        <w:br w:type="page"/>
      </w:r>
    </w:p>
    <w:tbl>
      <w:tblPr>
        <w:tblW w:w="9656" w:type="dxa"/>
        <w:tblLook w:val="04A0" w:firstRow="1" w:lastRow="0" w:firstColumn="1" w:lastColumn="0" w:noHBand="0" w:noVBand="1"/>
      </w:tblPr>
      <w:tblGrid>
        <w:gridCol w:w="1170"/>
        <w:gridCol w:w="3991"/>
        <w:gridCol w:w="1026"/>
        <w:gridCol w:w="1172"/>
        <w:gridCol w:w="1172"/>
        <w:gridCol w:w="1125"/>
      </w:tblGrid>
      <w:tr w:rsidR="00CD6EE7" w:rsidRPr="008D21C4" w14:paraId="646A4A70" w14:textId="77777777" w:rsidTr="0BC0C58E">
        <w:trPr>
          <w:trHeight w:val="280"/>
        </w:trPr>
        <w:tc>
          <w:tcPr>
            <w:tcW w:w="1170" w:type="dxa"/>
            <w:tcBorders>
              <w:top w:val="nil"/>
              <w:left w:val="nil"/>
              <w:bottom w:val="nil"/>
              <w:right w:val="nil"/>
            </w:tcBorders>
            <w:noWrap/>
            <w:vAlign w:val="bottom"/>
            <w:hideMark/>
          </w:tcPr>
          <w:p w14:paraId="150B02CA" w14:textId="5CB078BB" w:rsidR="00CD6EE7" w:rsidRPr="008D21C4" w:rsidRDefault="00CD6EE7" w:rsidP="00CD6EE7">
            <w:pPr>
              <w:jc w:val="right"/>
              <w:rPr>
                <w:rFonts w:eastAsia="Times New Roman" w:cs="Times New Roman"/>
                <w:b/>
                <w:bCs/>
                <w:color w:val="000000"/>
                <w:kern w:val="0"/>
                <w:sz w:val="20"/>
                <w:szCs w:val="20"/>
                <w:lang w:eastAsia="en-GB"/>
                <w14:ligatures w14:val="none"/>
              </w:rPr>
            </w:pPr>
          </w:p>
        </w:tc>
        <w:tc>
          <w:tcPr>
            <w:tcW w:w="3991" w:type="dxa"/>
            <w:tcBorders>
              <w:top w:val="nil"/>
              <w:left w:val="nil"/>
              <w:bottom w:val="nil"/>
              <w:right w:val="nil"/>
            </w:tcBorders>
            <w:noWrap/>
            <w:vAlign w:val="bottom"/>
            <w:hideMark/>
          </w:tcPr>
          <w:p w14:paraId="6276B15C"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026" w:type="dxa"/>
            <w:tcBorders>
              <w:top w:val="nil"/>
              <w:left w:val="nil"/>
              <w:bottom w:val="nil"/>
              <w:right w:val="nil"/>
            </w:tcBorders>
            <w:noWrap/>
            <w:vAlign w:val="bottom"/>
            <w:hideMark/>
          </w:tcPr>
          <w:p w14:paraId="7E7EF62D"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67B721CB"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779855EA"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25" w:type="dxa"/>
            <w:tcBorders>
              <w:top w:val="nil"/>
              <w:left w:val="nil"/>
              <w:bottom w:val="nil"/>
              <w:right w:val="nil"/>
            </w:tcBorders>
            <w:noWrap/>
            <w:vAlign w:val="bottom"/>
            <w:hideMark/>
          </w:tcPr>
          <w:p w14:paraId="2A24E4CD"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r>
      <w:tr w:rsidR="005A0712" w:rsidRPr="008D21C4" w14:paraId="5175FA93" w14:textId="77777777" w:rsidTr="0BC0C58E">
        <w:trPr>
          <w:trHeight w:val="270"/>
        </w:trPr>
        <w:tc>
          <w:tcPr>
            <w:tcW w:w="1170" w:type="dxa"/>
            <w:tcBorders>
              <w:top w:val="single" w:sz="12" w:space="0" w:color="auto"/>
              <w:left w:val="single" w:sz="12" w:space="0" w:color="auto"/>
              <w:bottom w:val="nil"/>
              <w:right w:val="single" w:sz="4" w:space="0" w:color="auto"/>
            </w:tcBorders>
            <w:shd w:val="clear" w:color="auto" w:fill="E8E8E8"/>
            <w:hideMark/>
          </w:tcPr>
          <w:p w14:paraId="5CB68CD8" w14:textId="47874EC0"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025/26</w:t>
            </w:r>
          </w:p>
        </w:tc>
        <w:tc>
          <w:tcPr>
            <w:tcW w:w="3991" w:type="dxa"/>
            <w:tcBorders>
              <w:top w:val="single" w:sz="12" w:space="0" w:color="auto"/>
              <w:left w:val="single" w:sz="12" w:space="0" w:color="auto"/>
              <w:bottom w:val="nil"/>
              <w:right w:val="single" w:sz="12" w:space="0" w:color="auto"/>
            </w:tcBorders>
            <w:shd w:val="clear" w:color="auto" w:fill="E8E8E8"/>
            <w:noWrap/>
            <w:vAlign w:val="bottom"/>
            <w:hideMark/>
          </w:tcPr>
          <w:p w14:paraId="6246125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Finance and Resources</w:t>
            </w:r>
          </w:p>
        </w:tc>
        <w:tc>
          <w:tcPr>
            <w:tcW w:w="1026" w:type="dxa"/>
            <w:tcBorders>
              <w:top w:val="single" w:sz="12" w:space="0" w:color="auto"/>
              <w:left w:val="nil"/>
              <w:bottom w:val="nil"/>
              <w:right w:val="single" w:sz="12" w:space="0" w:color="auto"/>
            </w:tcBorders>
            <w:shd w:val="clear" w:color="auto" w:fill="E8E8E8"/>
            <w:hideMark/>
          </w:tcPr>
          <w:p w14:paraId="353B2FBC" w14:textId="694675A7"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026/27</w:t>
            </w:r>
          </w:p>
        </w:tc>
        <w:tc>
          <w:tcPr>
            <w:tcW w:w="1172" w:type="dxa"/>
            <w:tcBorders>
              <w:top w:val="single" w:sz="12" w:space="0" w:color="auto"/>
              <w:left w:val="nil"/>
              <w:bottom w:val="nil"/>
              <w:right w:val="single" w:sz="12" w:space="0" w:color="auto"/>
            </w:tcBorders>
            <w:shd w:val="clear" w:color="auto" w:fill="E8E8E8"/>
            <w:hideMark/>
          </w:tcPr>
          <w:p w14:paraId="3AA310BF" w14:textId="0FD55E64"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027/28</w:t>
            </w:r>
          </w:p>
        </w:tc>
        <w:tc>
          <w:tcPr>
            <w:tcW w:w="1172" w:type="dxa"/>
            <w:tcBorders>
              <w:top w:val="single" w:sz="12" w:space="0" w:color="auto"/>
              <w:left w:val="nil"/>
              <w:bottom w:val="nil"/>
              <w:right w:val="single" w:sz="12" w:space="0" w:color="auto"/>
            </w:tcBorders>
            <w:shd w:val="clear" w:color="auto" w:fill="E8E8E8"/>
            <w:hideMark/>
          </w:tcPr>
          <w:p w14:paraId="1CC633E0" w14:textId="29969530"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028/29</w:t>
            </w:r>
          </w:p>
        </w:tc>
        <w:tc>
          <w:tcPr>
            <w:tcW w:w="1125" w:type="dxa"/>
            <w:tcBorders>
              <w:top w:val="single" w:sz="12" w:space="0" w:color="auto"/>
              <w:left w:val="nil"/>
              <w:bottom w:val="nil"/>
              <w:right w:val="single" w:sz="12" w:space="0" w:color="auto"/>
            </w:tcBorders>
            <w:shd w:val="clear" w:color="auto" w:fill="E8E8E8"/>
            <w:hideMark/>
          </w:tcPr>
          <w:p w14:paraId="7AC0CC99" w14:textId="64A08C78"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029/30</w:t>
            </w:r>
          </w:p>
        </w:tc>
      </w:tr>
      <w:tr w:rsidR="005A0712" w:rsidRPr="008D21C4" w14:paraId="05B5E282" w14:textId="77777777" w:rsidTr="0BC0C58E">
        <w:trPr>
          <w:trHeight w:val="270"/>
        </w:trPr>
        <w:tc>
          <w:tcPr>
            <w:tcW w:w="1170" w:type="dxa"/>
            <w:tcBorders>
              <w:top w:val="nil"/>
              <w:left w:val="single" w:sz="12" w:space="0" w:color="auto"/>
              <w:bottom w:val="single" w:sz="12" w:space="0" w:color="auto"/>
              <w:right w:val="single" w:sz="4" w:space="0" w:color="auto"/>
            </w:tcBorders>
            <w:shd w:val="clear" w:color="auto" w:fill="E8E8E8"/>
            <w:noWrap/>
            <w:vAlign w:val="bottom"/>
            <w:hideMark/>
          </w:tcPr>
          <w:p w14:paraId="361AAFF2"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3991" w:type="dxa"/>
            <w:tcBorders>
              <w:top w:val="nil"/>
              <w:left w:val="single" w:sz="12" w:space="0" w:color="auto"/>
              <w:bottom w:val="single" w:sz="12" w:space="0" w:color="auto"/>
              <w:right w:val="single" w:sz="12" w:space="0" w:color="auto"/>
            </w:tcBorders>
            <w:shd w:val="clear" w:color="auto" w:fill="E8E8E8"/>
            <w:noWrap/>
            <w:vAlign w:val="bottom"/>
            <w:hideMark/>
          </w:tcPr>
          <w:p w14:paraId="38DCA8E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Type of Expenditure / Income </w:t>
            </w:r>
          </w:p>
        </w:tc>
        <w:tc>
          <w:tcPr>
            <w:tcW w:w="1026" w:type="dxa"/>
            <w:tcBorders>
              <w:top w:val="nil"/>
              <w:left w:val="nil"/>
              <w:bottom w:val="single" w:sz="12" w:space="0" w:color="auto"/>
              <w:right w:val="single" w:sz="12" w:space="0" w:color="auto"/>
            </w:tcBorders>
            <w:shd w:val="clear" w:color="auto" w:fill="E8E8E8"/>
            <w:noWrap/>
            <w:vAlign w:val="bottom"/>
            <w:hideMark/>
          </w:tcPr>
          <w:p w14:paraId="0447DB5E"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53B762E3"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3D599214"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25" w:type="dxa"/>
            <w:tcBorders>
              <w:top w:val="nil"/>
              <w:left w:val="nil"/>
              <w:bottom w:val="single" w:sz="12" w:space="0" w:color="auto"/>
              <w:right w:val="single" w:sz="12" w:space="0" w:color="auto"/>
            </w:tcBorders>
            <w:shd w:val="clear" w:color="auto" w:fill="E8E8E8"/>
            <w:noWrap/>
            <w:vAlign w:val="bottom"/>
            <w:hideMark/>
          </w:tcPr>
          <w:p w14:paraId="3045ED85"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r>
      <w:tr w:rsidR="005A0712" w:rsidRPr="008D21C4" w14:paraId="3571264E" w14:textId="77777777" w:rsidTr="0BC0C58E">
        <w:trPr>
          <w:trHeight w:val="270"/>
        </w:trPr>
        <w:tc>
          <w:tcPr>
            <w:tcW w:w="1170" w:type="dxa"/>
            <w:tcBorders>
              <w:top w:val="single" w:sz="4" w:space="0" w:color="auto"/>
              <w:left w:val="single" w:sz="12" w:space="0" w:color="auto"/>
              <w:bottom w:val="single" w:sz="4" w:space="0" w:color="auto"/>
              <w:right w:val="single" w:sz="4" w:space="0" w:color="auto"/>
            </w:tcBorders>
            <w:noWrap/>
            <w:vAlign w:val="bottom"/>
            <w:hideMark/>
          </w:tcPr>
          <w:p w14:paraId="2DBF4AE0" w14:textId="6C787E4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773</w:t>
            </w:r>
          </w:p>
        </w:tc>
        <w:tc>
          <w:tcPr>
            <w:tcW w:w="399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1EA84F50"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Employees</w:t>
            </w:r>
          </w:p>
        </w:tc>
        <w:tc>
          <w:tcPr>
            <w:tcW w:w="1026" w:type="dxa"/>
            <w:tcBorders>
              <w:top w:val="single" w:sz="4" w:space="0" w:color="auto"/>
              <w:left w:val="nil"/>
              <w:bottom w:val="single" w:sz="4" w:space="0" w:color="auto"/>
              <w:right w:val="single" w:sz="4" w:space="0" w:color="auto"/>
            </w:tcBorders>
            <w:noWrap/>
            <w:vAlign w:val="bottom"/>
            <w:hideMark/>
          </w:tcPr>
          <w:p w14:paraId="39F78508" w14:textId="6D5AC6B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1,343</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7B75CFE" w14:textId="1BE7FA5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996</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00777B5B" w14:textId="6166DBC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1,019</w:t>
            </w:r>
          </w:p>
        </w:tc>
        <w:tc>
          <w:tcPr>
            <w:tcW w:w="1125" w:type="dxa"/>
            <w:tcBorders>
              <w:top w:val="single" w:sz="4" w:space="0" w:color="auto"/>
              <w:left w:val="single" w:sz="12" w:space="0" w:color="auto"/>
              <w:bottom w:val="single" w:sz="4" w:space="0" w:color="auto"/>
              <w:right w:val="single" w:sz="12" w:space="0" w:color="auto"/>
            </w:tcBorders>
            <w:noWrap/>
            <w:vAlign w:val="bottom"/>
            <w:hideMark/>
          </w:tcPr>
          <w:p w14:paraId="02C407F0" w14:textId="1A3A29F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1,042</w:t>
            </w:r>
          </w:p>
        </w:tc>
      </w:tr>
      <w:tr w:rsidR="005A0712" w:rsidRPr="008D21C4" w14:paraId="2C04180B"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50D75271" w14:textId="677283D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6F828AF2"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Premises</w:t>
            </w:r>
          </w:p>
        </w:tc>
        <w:tc>
          <w:tcPr>
            <w:tcW w:w="1026" w:type="dxa"/>
            <w:tcBorders>
              <w:top w:val="nil"/>
              <w:left w:val="nil"/>
              <w:bottom w:val="single" w:sz="4" w:space="0" w:color="auto"/>
              <w:right w:val="single" w:sz="4" w:space="0" w:color="auto"/>
            </w:tcBorders>
            <w:noWrap/>
            <w:vAlign w:val="bottom"/>
            <w:hideMark/>
          </w:tcPr>
          <w:p w14:paraId="7E195434" w14:textId="6E417F2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CC05D7B" w14:textId="1512797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ACF04A2" w14:textId="10E73B4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22F1A999" w14:textId="15CE9E6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1556B2F"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341B2015" w14:textId="22F062C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0FAAA76A"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Transport</w:t>
            </w:r>
          </w:p>
        </w:tc>
        <w:tc>
          <w:tcPr>
            <w:tcW w:w="1026" w:type="dxa"/>
            <w:tcBorders>
              <w:top w:val="nil"/>
              <w:left w:val="nil"/>
              <w:bottom w:val="single" w:sz="4" w:space="0" w:color="auto"/>
              <w:right w:val="single" w:sz="4" w:space="0" w:color="auto"/>
            </w:tcBorders>
            <w:noWrap/>
            <w:vAlign w:val="bottom"/>
            <w:hideMark/>
          </w:tcPr>
          <w:p w14:paraId="20E5428F" w14:textId="0C3C286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172" w:type="dxa"/>
            <w:tcBorders>
              <w:top w:val="nil"/>
              <w:left w:val="single" w:sz="12" w:space="0" w:color="auto"/>
              <w:bottom w:val="single" w:sz="4" w:space="0" w:color="auto"/>
              <w:right w:val="single" w:sz="4" w:space="0" w:color="auto"/>
            </w:tcBorders>
            <w:noWrap/>
            <w:vAlign w:val="bottom"/>
            <w:hideMark/>
          </w:tcPr>
          <w:p w14:paraId="16373281" w14:textId="46768B8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172" w:type="dxa"/>
            <w:tcBorders>
              <w:top w:val="nil"/>
              <w:left w:val="single" w:sz="12" w:space="0" w:color="auto"/>
              <w:bottom w:val="single" w:sz="4" w:space="0" w:color="auto"/>
              <w:right w:val="single" w:sz="4" w:space="0" w:color="auto"/>
            </w:tcBorders>
            <w:noWrap/>
            <w:vAlign w:val="bottom"/>
            <w:hideMark/>
          </w:tcPr>
          <w:p w14:paraId="5E994E70" w14:textId="16D8FC0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125" w:type="dxa"/>
            <w:tcBorders>
              <w:top w:val="nil"/>
              <w:left w:val="single" w:sz="12" w:space="0" w:color="auto"/>
              <w:bottom w:val="single" w:sz="4" w:space="0" w:color="auto"/>
              <w:right w:val="single" w:sz="12" w:space="0" w:color="auto"/>
            </w:tcBorders>
            <w:noWrap/>
            <w:vAlign w:val="bottom"/>
            <w:hideMark/>
          </w:tcPr>
          <w:p w14:paraId="3A62F4C8" w14:textId="0F98B11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r>
      <w:tr w:rsidR="005A0712" w:rsidRPr="008D21C4" w14:paraId="1BE5CEE5"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44FDAB56" w14:textId="7F639F1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1,297</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52A2E41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Supplies and Services</w:t>
            </w:r>
          </w:p>
        </w:tc>
        <w:tc>
          <w:tcPr>
            <w:tcW w:w="1026" w:type="dxa"/>
            <w:tcBorders>
              <w:top w:val="nil"/>
              <w:left w:val="nil"/>
              <w:bottom w:val="single" w:sz="4" w:space="0" w:color="auto"/>
              <w:right w:val="single" w:sz="4" w:space="0" w:color="auto"/>
            </w:tcBorders>
            <w:noWrap/>
            <w:vAlign w:val="bottom"/>
            <w:hideMark/>
          </w:tcPr>
          <w:p w14:paraId="4E1580ED" w14:textId="483B0BE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850</w:t>
            </w:r>
          </w:p>
        </w:tc>
        <w:tc>
          <w:tcPr>
            <w:tcW w:w="1172" w:type="dxa"/>
            <w:tcBorders>
              <w:top w:val="nil"/>
              <w:left w:val="single" w:sz="12" w:space="0" w:color="auto"/>
              <w:bottom w:val="single" w:sz="4" w:space="0" w:color="auto"/>
              <w:right w:val="single" w:sz="4" w:space="0" w:color="auto"/>
            </w:tcBorders>
            <w:noWrap/>
            <w:vAlign w:val="bottom"/>
            <w:hideMark/>
          </w:tcPr>
          <w:p w14:paraId="29FFE8E1" w14:textId="58BC0F2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863</w:t>
            </w:r>
          </w:p>
        </w:tc>
        <w:tc>
          <w:tcPr>
            <w:tcW w:w="1172" w:type="dxa"/>
            <w:tcBorders>
              <w:top w:val="nil"/>
              <w:left w:val="single" w:sz="12" w:space="0" w:color="auto"/>
              <w:bottom w:val="single" w:sz="4" w:space="0" w:color="auto"/>
              <w:right w:val="single" w:sz="4" w:space="0" w:color="auto"/>
            </w:tcBorders>
            <w:noWrap/>
            <w:vAlign w:val="bottom"/>
            <w:hideMark/>
          </w:tcPr>
          <w:p w14:paraId="5995BEFA" w14:textId="16DB529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873</w:t>
            </w:r>
          </w:p>
        </w:tc>
        <w:tc>
          <w:tcPr>
            <w:tcW w:w="1125" w:type="dxa"/>
            <w:tcBorders>
              <w:top w:val="nil"/>
              <w:left w:val="single" w:sz="12" w:space="0" w:color="auto"/>
              <w:bottom w:val="single" w:sz="4" w:space="0" w:color="auto"/>
              <w:right w:val="single" w:sz="12" w:space="0" w:color="auto"/>
            </w:tcBorders>
            <w:noWrap/>
            <w:vAlign w:val="bottom"/>
            <w:hideMark/>
          </w:tcPr>
          <w:p w14:paraId="60CC6259" w14:textId="7AEE8F5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884</w:t>
            </w:r>
          </w:p>
        </w:tc>
      </w:tr>
      <w:tr w:rsidR="005A0712" w:rsidRPr="008D21C4" w14:paraId="280BC50B"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5A3EE382" w14:textId="6899997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39AAD488"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Third Party Payments</w:t>
            </w:r>
          </w:p>
        </w:tc>
        <w:tc>
          <w:tcPr>
            <w:tcW w:w="1026" w:type="dxa"/>
            <w:tcBorders>
              <w:top w:val="nil"/>
              <w:left w:val="nil"/>
              <w:bottom w:val="single" w:sz="4" w:space="0" w:color="auto"/>
              <w:right w:val="single" w:sz="4" w:space="0" w:color="auto"/>
            </w:tcBorders>
            <w:noWrap/>
            <w:vAlign w:val="bottom"/>
            <w:hideMark/>
          </w:tcPr>
          <w:p w14:paraId="69A84B3B" w14:textId="4490C04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85B10DD" w14:textId="022EC50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8A2E6D8" w14:textId="3814464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7C7ED058" w14:textId="60A95DB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4324CE2"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6693013F" w14:textId="150865B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30A3CE51" w14:textId="3E373041" w:rsidR="00CD6EE7" w:rsidRPr="008D21C4" w:rsidRDefault="00B67584" w:rsidP="00CD6EE7">
            <w:pPr>
              <w:rPr>
                <w:rFonts w:eastAsia="Times New Roman" w:cs="Times New Roman"/>
                <w:b/>
                <w:bCs/>
                <w:color w:val="000000"/>
                <w:kern w:val="0"/>
                <w:sz w:val="20"/>
                <w:szCs w:val="20"/>
                <w:lang w:eastAsia="en-GB"/>
                <w14:ligatures w14:val="none"/>
              </w:rPr>
            </w:pPr>
            <w:r w:rsidRPr="008D21C4">
              <w:rPr>
                <w:rFonts w:eastAsia="Times New Roman" w:cs="Times New Roman"/>
                <w:b/>
                <w:color w:val="000000"/>
                <w:kern w:val="0"/>
                <w:sz w:val="20"/>
                <w:szCs w:val="20"/>
                <w:lang w:eastAsia="en-GB"/>
                <w14:ligatures w14:val="none"/>
              </w:rPr>
              <w:t>Corporat</w:t>
            </w:r>
            <w:r>
              <w:rPr>
                <w:rFonts w:eastAsia="Times New Roman" w:cs="Times New Roman"/>
                <w:b/>
                <w:color w:val="000000"/>
                <w:kern w:val="0"/>
                <w:sz w:val="20"/>
                <w:szCs w:val="20"/>
                <w:lang w:eastAsia="en-GB"/>
                <w14:ligatures w14:val="none"/>
              </w:rPr>
              <w:t>e Support Recharges</w:t>
            </w:r>
          </w:p>
        </w:tc>
        <w:tc>
          <w:tcPr>
            <w:tcW w:w="1026" w:type="dxa"/>
            <w:tcBorders>
              <w:top w:val="nil"/>
              <w:left w:val="nil"/>
              <w:bottom w:val="single" w:sz="4" w:space="0" w:color="auto"/>
              <w:right w:val="single" w:sz="4" w:space="0" w:color="auto"/>
            </w:tcBorders>
            <w:noWrap/>
            <w:vAlign w:val="bottom"/>
            <w:hideMark/>
          </w:tcPr>
          <w:p w14:paraId="172EB9A4" w14:textId="3B9B8C5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694959A" w14:textId="6B03FA7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D3C2AA8" w14:textId="130E67E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483D56A8" w14:textId="417160C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2352ACF" w14:textId="77777777" w:rsidTr="0BC0C58E">
        <w:trPr>
          <w:trHeight w:val="270"/>
        </w:trPr>
        <w:tc>
          <w:tcPr>
            <w:tcW w:w="1170" w:type="dxa"/>
            <w:tcBorders>
              <w:top w:val="nil"/>
              <w:left w:val="single" w:sz="12" w:space="0" w:color="auto"/>
              <w:bottom w:val="single" w:sz="4" w:space="0" w:color="auto"/>
              <w:right w:val="single" w:sz="4" w:space="0" w:color="auto"/>
            </w:tcBorders>
            <w:noWrap/>
            <w:vAlign w:val="bottom"/>
            <w:hideMark/>
          </w:tcPr>
          <w:p w14:paraId="48BC82D8" w14:textId="11C2436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02F48558" w14:textId="466DAAA7" w:rsidR="00CD6EE7" w:rsidRPr="008D21C4" w:rsidRDefault="00E0706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Central Costs</w:t>
            </w:r>
          </w:p>
        </w:tc>
        <w:tc>
          <w:tcPr>
            <w:tcW w:w="1026" w:type="dxa"/>
            <w:tcBorders>
              <w:top w:val="nil"/>
              <w:left w:val="nil"/>
              <w:bottom w:val="single" w:sz="4" w:space="0" w:color="auto"/>
              <w:right w:val="single" w:sz="4" w:space="0" w:color="auto"/>
            </w:tcBorders>
            <w:noWrap/>
            <w:vAlign w:val="bottom"/>
            <w:hideMark/>
          </w:tcPr>
          <w:p w14:paraId="79AC3185" w14:textId="3C0F4A80"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DF4B021" w14:textId="51742F2B"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F15D9A7" w14:textId="22EBAE9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544B9237" w14:textId="674FD99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6F822D96" w14:textId="77777777" w:rsidTr="0BC0C58E">
        <w:trPr>
          <w:trHeight w:val="280"/>
        </w:trPr>
        <w:tc>
          <w:tcPr>
            <w:tcW w:w="117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CB83770" w14:textId="69C397A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2,070</w:t>
            </w:r>
          </w:p>
        </w:tc>
        <w:tc>
          <w:tcPr>
            <w:tcW w:w="399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4233C7C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Expenditure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57844CD9" w14:textId="6678158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2,193</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09851114" w14:textId="7F9B0DA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1,859</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0ECE37D" w14:textId="198F70B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1,892</w:t>
            </w:r>
          </w:p>
        </w:tc>
        <w:tc>
          <w:tcPr>
            <w:tcW w:w="1125"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2AE0073B" w14:textId="0A7BE0C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1,926</w:t>
            </w:r>
          </w:p>
        </w:tc>
      </w:tr>
      <w:tr w:rsidR="005A0712" w:rsidRPr="008D21C4" w14:paraId="2BF2019B" w14:textId="77777777" w:rsidTr="0BC0C58E">
        <w:trPr>
          <w:trHeight w:val="270"/>
        </w:trPr>
        <w:tc>
          <w:tcPr>
            <w:tcW w:w="1170" w:type="dxa"/>
            <w:tcBorders>
              <w:top w:val="single" w:sz="4" w:space="0" w:color="auto"/>
              <w:left w:val="single" w:sz="12" w:space="0" w:color="auto"/>
              <w:bottom w:val="single" w:sz="4" w:space="0" w:color="auto"/>
              <w:right w:val="single" w:sz="4" w:space="0" w:color="auto"/>
            </w:tcBorders>
            <w:noWrap/>
            <w:vAlign w:val="bottom"/>
            <w:hideMark/>
          </w:tcPr>
          <w:p w14:paraId="701BB472" w14:textId="0F9DD79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(100)</w:t>
            </w:r>
          </w:p>
        </w:tc>
        <w:tc>
          <w:tcPr>
            <w:tcW w:w="399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71E67B6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Charges</w:t>
            </w:r>
          </w:p>
        </w:tc>
        <w:tc>
          <w:tcPr>
            <w:tcW w:w="1026" w:type="dxa"/>
            <w:tcBorders>
              <w:top w:val="single" w:sz="4" w:space="0" w:color="auto"/>
              <w:left w:val="nil"/>
              <w:bottom w:val="single" w:sz="4" w:space="0" w:color="auto"/>
              <w:right w:val="single" w:sz="4" w:space="0" w:color="auto"/>
            </w:tcBorders>
            <w:noWrap/>
            <w:vAlign w:val="bottom"/>
            <w:hideMark/>
          </w:tcPr>
          <w:p w14:paraId="3219710B" w14:textId="48E540D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15127D41" w14:textId="0A681BD0"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015BDA51" w14:textId="2D92D140"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single" w:sz="4" w:space="0" w:color="auto"/>
              <w:left w:val="single" w:sz="12" w:space="0" w:color="auto"/>
              <w:bottom w:val="single" w:sz="4" w:space="0" w:color="auto"/>
              <w:right w:val="single" w:sz="12" w:space="0" w:color="auto"/>
            </w:tcBorders>
            <w:noWrap/>
            <w:vAlign w:val="bottom"/>
            <w:hideMark/>
          </w:tcPr>
          <w:p w14:paraId="3BD315A4" w14:textId="68407F6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2506E34"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7E34721E" w14:textId="75BA718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3D0AEEC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Grant</w:t>
            </w:r>
          </w:p>
        </w:tc>
        <w:tc>
          <w:tcPr>
            <w:tcW w:w="1026" w:type="dxa"/>
            <w:tcBorders>
              <w:top w:val="nil"/>
              <w:left w:val="nil"/>
              <w:bottom w:val="single" w:sz="4" w:space="0" w:color="auto"/>
              <w:right w:val="single" w:sz="4" w:space="0" w:color="auto"/>
            </w:tcBorders>
            <w:noWrap/>
            <w:vAlign w:val="bottom"/>
            <w:hideMark/>
          </w:tcPr>
          <w:p w14:paraId="6777D25C" w14:textId="6CECA3F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ACE13D8" w14:textId="3A50642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EDC5269" w14:textId="07A35B70"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7552533E" w14:textId="6B3AB17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35276B2F" w14:textId="77777777" w:rsidTr="0BC0C58E">
        <w:trPr>
          <w:trHeight w:val="377"/>
        </w:trPr>
        <w:tc>
          <w:tcPr>
            <w:tcW w:w="1170" w:type="dxa"/>
            <w:tcBorders>
              <w:top w:val="nil"/>
              <w:left w:val="single" w:sz="12" w:space="0" w:color="auto"/>
              <w:bottom w:val="single" w:sz="4" w:space="0" w:color="auto"/>
              <w:right w:val="single" w:sz="4" w:space="0" w:color="auto"/>
            </w:tcBorders>
            <w:noWrap/>
            <w:vAlign w:val="bottom"/>
            <w:hideMark/>
          </w:tcPr>
          <w:p w14:paraId="12A0A453" w14:textId="0CA2BBDD"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(1,129)</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37CCB92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Recharges</w:t>
            </w:r>
          </w:p>
        </w:tc>
        <w:tc>
          <w:tcPr>
            <w:tcW w:w="1026" w:type="dxa"/>
            <w:tcBorders>
              <w:top w:val="nil"/>
              <w:left w:val="nil"/>
              <w:bottom w:val="single" w:sz="4" w:space="0" w:color="auto"/>
              <w:right w:val="single" w:sz="4" w:space="0" w:color="auto"/>
            </w:tcBorders>
            <w:noWrap/>
            <w:vAlign w:val="bottom"/>
            <w:hideMark/>
          </w:tcPr>
          <w:p w14:paraId="43E6EA93" w14:textId="45B83AAA"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(1,709)</w:t>
            </w:r>
          </w:p>
        </w:tc>
        <w:tc>
          <w:tcPr>
            <w:tcW w:w="1172" w:type="dxa"/>
            <w:tcBorders>
              <w:top w:val="nil"/>
              <w:left w:val="single" w:sz="12" w:space="0" w:color="auto"/>
              <w:bottom w:val="single" w:sz="4" w:space="0" w:color="auto"/>
              <w:right w:val="single" w:sz="4" w:space="0" w:color="auto"/>
            </w:tcBorders>
            <w:noWrap/>
            <w:vAlign w:val="bottom"/>
            <w:hideMark/>
          </w:tcPr>
          <w:p w14:paraId="0CC1DD1A" w14:textId="47AF6A6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(1,709)</w:t>
            </w:r>
          </w:p>
        </w:tc>
        <w:tc>
          <w:tcPr>
            <w:tcW w:w="1172" w:type="dxa"/>
            <w:tcBorders>
              <w:top w:val="nil"/>
              <w:left w:val="single" w:sz="12" w:space="0" w:color="auto"/>
              <w:bottom w:val="single" w:sz="4" w:space="0" w:color="auto"/>
              <w:right w:val="single" w:sz="4" w:space="0" w:color="auto"/>
            </w:tcBorders>
            <w:noWrap/>
            <w:vAlign w:val="bottom"/>
            <w:hideMark/>
          </w:tcPr>
          <w:p w14:paraId="044BDDCE" w14:textId="2F9167FA"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(1,709)</w:t>
            </w:r>
          </w:p>
        </w:tc>
        <w:tc>
          <w:tcPr>
            <w:tcW w:w="1125" w:type="dxa"/>
            <w:tcBorders>
              <w:top w:val="nil"/>
              <w:left w:val="single" w:sz="12" w:space="0" w:color="auto"/>
              <w:bottom w:val="single" w:sz="4" w:space="0" w:color="auto"/>
              <w:right w:val="single" w:sz="12" w:space="0" w:color="auto"/>
            </w:tcBorders>
            <w:noWrap/>
            <w:vAlign w:val="bottom"/>
            <w:hideMark/>
          </w:tcPr>
          <w:p w14:paraId="6D88D384" w14:textId="784EC001"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(1,709)</w:t>
            </w:r>
          </w:p>
        </w:tc>
      </w:tr>
      <w:tr w:rsidR="005A0712" w:rsidRPr="008D21C4" w14:paraId="49645712"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4447CA35" w14:textId="7F34072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11252ED2"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CSR</w:t>
            </w:r>
          </w:p>
        </w:tc>
        <w:tc>
          <w:tcPr>
            <w:tcW w:w="1026" w:type="dxa"/>
            <w:tcBorders>
              <w:top w:val="nil"/>
              <w:left w:val="nil"/>
              <w:bottom w:val="single" w:sz="4" w:space="0" w:color="auto"/>
              <w:right w:val="single" w:sz="4" w:space="0" w:color="auto"/>
            </w:tcBorders>
            <w:noWrap/>
            <w:vAlign w:val="bottom"/>
            <w:hideMark/>
          </w:tcPr>
          <w:p w14:paraId="5A81E06A" w14:textId="778DC58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w:t>
            </w:r>
            <w:r w:rsidR="002D5043">
              <w:rPr>
                <w:rFonts w:eastAsia="Times New Roman" w:cs="Times New Roman"/>
                <w:b/>
                <w:bCs/>
                <w:color w:val="000000"/>
                <w:kern w:val="0"/>
                <w:sz w:val="20"/>
                <w:szCs w:val="20"/>
                <w:lang w:eastAsia="en-GB"/>
                <w14:ligatures w14:val="none"/>
              </w:rPr>
              <w:t>345</w:t>
            </w:r>
          </w:p>
        </w:tc>
        <w:tc>
          <w:tcPr>
            <w:tcW w:w="1172" w:type="dxa"/>
            <w:tcBorders>
              <w:top w:val="nil"/>
              <w:left w:val="single" w:sz="12" w:space="0" w:color="auto"/>
              <w:bottom w:val="single" w:sz="4" w:space="0" w:color="auto"/>
              <w:right w:val="single" w:sz="4" w:space="0" w:color="auto"/>
            </w:tcBorders>
            <w:noWrap/>
            <w:vAlign w:val="bottom"/>
            <w:hideMark/>
          </w:tcPr>
          <w:p w14:paraId="438B3034" w14:textId="63743B5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w:t>
            </w:r>
            <w:r w:rsidR="00BA4091">
              <w:rPr>
                <w:rFonts w:eastAsia="Times New Roman" w:cs="Times New Roman"/>
                <w:b/>
                <w:bCs/>
                <w:color w:val="000000"/>
                <w:kern w:val="0"/>
                <w:sz w:val="20"/>
                <w:szCs w:val="20"/>
                <w:lang w:eastAsia="en-GB"/>
                <w14:ligatures w14:val="none"/>
              </w:rPr>
              <w:t>416</w:t>
            </w:r>
          </w:p>
        </w:tc>
        <w:tc>
          <w:tcPr>
            <w:tcW w:w="1172" w:type="dxa"/>
            <w:tcBorders>
              <w:top w:val="nil"/>
              <w:left w:val="single" w:sz="12" w:space="0" w:color="auto"/>
              <w:bottom w:val="single" w:sz="4" w:space="0" w:color="auto"/>
              <w:right w:val="single" w:sz="4" w:space="0" w:color="auto"/>
            </w:tcBorders>
            <w:noWrap/>
            <w:vAlign w:val="bottom"/>
            <w:hideMark/>
          </w:tcPr>
          <w:p w14:paraId="4DC511BB" w14:textId="28F5D79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w:t>
            </w:r>
            <w:r w:rsidR="0075098D">
              <w:rPr>
                <w:rFonts w:eastAsia="Times New Roman" w:cs="Times New Roman"/>
                <w:b/>
                <w:bCs/>
                <w:color w:val="000000"/>
                <w:kern w:val="0"/>
                <w:sz w:val="20"/>
                <w:szCs w:val="20"/>
                <w:lang w:eastAsia="en-GB"/>
                <w14:ligatures w14:val="none"/>
              </w:rPr>
              <w:t>465</w:t>
            </w:r>
          </w:p>
        </w:tc>
        <w:tc>
          <w:tcPr>
            <w:tcW w:w="1125" w:type="dxa"/>
            <w:tcBorders>
              <w:top w:val="nil"/>
              <w:left w:val="single" w:sz="12" w:space="0" w:color="auto"/>
              <w:bottom w:val="single" w:sz="4" w:space="0" w:color="auto"/>
              <w:right w:val="single" w:sz="12" w:space="0" w:color="auto"/>
            </w:tcBorders>
            <w:noWrap/>
            <w:vAlign w:val="bottom"/>
            <w:hideMark/>
          </w:tcPr>
          <w:p w14:paraId="1C4620C8" w14:textId="49A8584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w:t>
            </w:r>
            <w:r w:rsidR="00F770A4">
              <w:rPr>
                <w:rFonts w:eastAsia="Times New Roman" w:cs="Times New Roman"/>
                <w:b/>
                <w:bCs/>
                <w:color w:val="000000"/>
                <w:kern w:val="0"/>
                <w:sz w:val="20"/>
                <w:szCs w:val="20"/>
                <w:lang w:eastAsia="en-GB"/>
                <w14:ligatures w14:val="none"/>
              </w:rPr>
              <w:t>515</w:t>
            </w:r>
          </w:p>
        </w:tc>
      </w:tr>
      <w:tr w:rsidR="005A0712" w:rsidRPr="008D21C4" w14:paraId="249988F8" w14:textId="77777777" w:rsidTr="0BC0C58E">
        <w:trPr>
          <w:trHeight w:val="623"/>
        </w:trPr>
        <w:tc>
          <w:tcPr>
            <w:tcW w:w="1170" w:type="dxa"/>
            <w:tcBorders>
              <w:top w:val="nil"/>
              <w:left w:val="single" w:sz="12" w:space="0" w:color="auto"/>
              <w:bottom w:val="single" w:sz="4" w:space="0" w:color="auto"/>
              <w:right w:val="single" w:sz="4" w:space="0" w:color="auto"/>
            </w:tcBorders>
            <w:noWrap/>
            <w:vAlign w:val="bottom"/>
            <w:hideMark/>
          </w:tcPr>
          <w:p w14:paraId="296D3325" w14:textId="0A03B9C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(651)</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5D4FD19B"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Summary</w:t>
            </w:r>
          </w:p>
        </w:tc>
        <w:tc>
          <w:tcPr>
            <w:tcW w:w="1026" w:type="dxa"/>
            <w:tcBorders>
              <w:top w:val="nil"/>
              <w:left w:val="nil"/>
              <w:bottom w:val="single" w:sz="4" w:space="0" w:color="auto"/>
              <w:right w:val="single" w:sz="4" w:space="0" w:color="auto"/>
            </w:tcBorders>
            <w:noWrap/>
            <w:vAlign w:val="bottom"/>
            <w:hideMark/>
          </w:tcPr>
          <w:p w14:paraId="5A2905DE" w14:textId="135A5393"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(250)</w:t>
            </w:r>
          </w:p>
        </w:tc>
        <w:tc>
          <w:tcPr>
            <w:tcW w:w="1172" w:type="dxa"/>
            <w:tcBorders>
              <w:top w:val="nil"/>
              <w:left w:val="single" w:sz="12" w:space="0" w:color="auto"/>
              <w:bottom w:val="single" w:sz="4" w:space="0" w:color="auto"/>
              <w:right w:val="single" w:sz="4" w:space="0" w:color="auto"/>
            </w:tcBorders>
            <w:noWrap/>
            <w:vAlign w:val="bottom"/>
            <w:hideMark/>
          </w:tcPr>
          <w:p w14:paraId="72D2F854" w14:textId="0B44E63A"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(250)</w:t>
            </w:r>
          </w:p>
        </w:tc>
        <w:tc>
          <w:tcPr>
            <w:tcW w:w="1172" w:type="dxa"/>
            <w:tcBorders>
              <w:top w:val="nil"/>
              <w:left w:val="single" w:sz="12" w:space="0" w:color="auto"/>
              <w:bottom w:val="single" w:sz="4" w:space="0" w:color="auto"/>
              <w:right w:val="single" w:sz="4" w:space="0" w:color="auto"/>
            </w:tcBorders>
            <w:noWrap/>
            <w:vAlign w:val="bottom"/>
            <w:hideMark/>
          </w:tcPr>
          <w:p w14:paraId="228D90D3" w14:textId="6D40FEE8"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(250)</w:t>
            </w:r>
          </w:p>
        </w:tc>
        <w:tc>
          <w:tcPr>
            <w:tcW w:w="1125" w:type="dxa"/>
            <w:tcBorders>
              <w:top w:val="nil"/>
              <w:left w:val="single" w:sz="12" w:space="0" w:color="auto"/>
              <w:bottom w:val="single" w:sz="4" w:space="0" w:color="auto"/>
              <w:right w:val="single" w:sz="12" w:space="0" w:color="auto"/>
            </w:tcBorders>
            <w:noWrap/>
            <w:vAlign w:val="bottom"/>
            <w:hideMark/>
          </w:tcPr>
          <w:p w14:paraId="2BF9AE1E" w14:textId="71800131"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(250)</w:t>
            </w:r>
          </w:p>
        </w:tc>
      </w:tr>
      <w:tr w:rsidR="005A0712" w:rsidRPr="008D21C4" w14:paraId="50AA8308"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3128644B" w14:textId="3F20599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759C4EAF"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Bank Interest</w:t>
            </w:r>
          </w:p>
        </w:tc>
        <w:tc>
          <w:tcPr>
            <w:tcW w:w="1026" w:type="dxa"/>
            <w:tcBorders>
              <w:top w:val="nil"/>
              <w:left w:val="nil"/>
              <w:bottom w:val="single" w:sz="4" w:space="0" w:color="auto"/>
              <w:right w:val="single" w:sz="4" w:space="0" w:color="auto"/>
            </w:tcBorders>
            <w:noWrap/>
            <w:vAlign w:val="bottom"/>
            <w:hideMark/>
          </w:tcPr>
          <w:p w14:paraId="08838DAF" w14:textId="6A51D43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9DF1AA9" w14:textId="08EDD97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F0EA60D" w14:textId="6DEBB80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300526B4" w14:textId="0DA5E51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9CFC2E7" w14:textId="77777777" w:rsidTr="0BC0C58E">
        <w:trPr>
          <w:trHeight w:val="260"/>
        </w:trPr>
        <w:tc>
          <w:tcPr>
            <w:tcW w:w="1170" w:type="dxa"/>
            <w:tcBorders>
              <w:top w:val="nil"/>
              <w:left w:val="single" w:sz="12" w:space="0" w:color="auto"/>
              <w:bottom w:val="single" w:sz="4" w:space="0" w:color="auto"/>
              <w:right w:val="single" w:sz="4" w:space="0" w:color="auto"/>
            </w:tcBorders>
            <w:noWrap/>
            <w:vAlign w:val="bottom"/>
            <w:hideMark/>
          </w:tcPr>
          <w:p w14:paraId="3871BA39" w14:textId="4243784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7E020142" w14:textId="27566753"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Inter</w:t>
            </w:r>
            <w:r w:rsidR="00A446F7" w:rsidRPr="008D21C4">
              <w:rPr>
                <w:rFonts w:eastAsia="Times New Roman" w:cs="Times New Roman"/>
                <w:b/>
                <w:bCs/>
                <w:color w:val="000000"/>
                <w:kern w:val="0"/>
                <w:sz w:val="20"/>
                <w:szCs w:val="20"/>
                <w:lang w:eastAsia="en-GB"/>
                <w14:ligatures w14:val="none"/>
              </w:rPr>
              <w:t>e</w:t>
            </w:r>
            <w:r w:rsidRPr="008D21C4">
              <w:rPr>
                <w:rFonts w:eastAsia="Times New Roman" w:cs="Times New Roman"/>
                <w:b/>
                <w:bCs/>
                <w:color w:val="000000"/>
                <w:kern w:val="0"/>
                <w:sz w:val="20"/>
                <w:szCs w:val="20"/>
                <w:lang w:eastAsia="en-GB"/>
                <w14:ligatures w14:val="none"/>
              </w:rPr>
              <w:t>st From Investments</w:t>
            </w:r>
          </w:p>
        </w:tc>
        <w:tc>
          <w:tcPr>
            <w:tcW w:w="1026" w:type="dxa"/>
            <w:tcBorders>
              <w:top w:val="nil"/>
              <w:left w:val="nil"/>
              <w:bottom w:val="single" w:sz="4" w:space="0" w:color="auto"/>
              <w:right w:val="single" w:sz="4" w:space="0" w:color="auto"/>
            </w:tcBorders>
            <w:noWrap/>
            <w:vAlign w:val="bottom"/>
            <w:hideMark/>
          </w:tcPr>
          <w:p w14:paraId="2DF7380A" w14:textId="33971BF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02DA33D" w14:textId="2C0FFB0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1DC1933" w14:textId="492440A0"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23BFA2A8" w14:textId="2921E44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20E86DB6" w14:textId="77777777" w:rsidTr="0BC0C58E">
        <w:trPr>
          <w:trHeight w:val="270"/>
        </w:trPr>
        <w:tc>
          <w:tcPr>
            <w:tcW w:w="1170" w:type="dxa"/>
            <w:tcBorders>
              <w:top w:val="nil"/>
              <w:left w:val="single" w:sz="12" w:space="0" w:color="auto"/>
              <w:bottom w:val="single" w:sz="4" w:space="0" w:color="auto"/>
              <w:right w:val="single" w:sz="4" w:space="0" w:color="auto"/>
            </w:tcBorders>
            <w:noWrap/>
            <w:vAlign w:val="bottom"/>
            <w:hideMark/>
          </w:tcPr>
          <w:p w14:paraId="0274D06B" w14:textId="1D0A5AC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566C4AB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Rents</w:t>
            </w:r>
          </w:p>
        </w:tc>
        <w:tc>
          <w:tcPr>
            <w:tcW w:w="1026" w:type="dxa"/>
            <w:tcBorders>
              <w:top w:val="nil"/>
              <w:left w:val="nil"/>
              <w:bottom w:val="single" w:sz="4" w:space="0" w:color="auto"/>
              <w:right w:val="single" w:sz="4" w:space="0" w:color="auto"/>
            </w:tcBorders>
            <w:noWrap/>
            <w:vAlign w:val="bottom"/>
            <w:hideMark/>
          </w:tcPr>
          <w:p w14:paraId="137A86DB" w14:textId="34E0159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E943129" w14:textId="5F7EC22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62ED52C" w14:textId="23662DE8"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7DB4ECAC" w14:textId="620572D4"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3749B37A" w14:textId="77777777" w:rsidTr="0BC0C58E">
        <w:trPr>
          <w:trHeight w:val="280"/>
        </w:trPr>
        <w:tc>
          <w:tcPr>
            <w:tcW w:w="117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0FC58FE6" w14:textId="3148C1B8"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(1,880)</w:t>
            </w:r>
          </w:p>
        </w:tc>
        <w:tc>
          <w:tcPr>
            <w:tcW w:w="399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292E278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Income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6AAFFA27" w14:textId="1D5D4F3B" w:rsidR="00CD6EE7" w:rsidRPr="008D21C4" w:rsidRDefault="00437BD3" w:rsidP="00A446F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386</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C1C9144" w14:textId="25AF326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153</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EFDDB81" w14:textId="5D65204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196</w:t>
            </w:r>
          </w:p>
        </w:tc>
        <w:tc>
          <w:tcPr>
            <w:tcW w:w="1125"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1BDAE32B" w14:textId="0A41AEDF"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239</w:t>
            </w:r>
          </w:p>
        </w:tc>
      </w:tr>
      <w:tr w:rsidR="005A0712" w:rsidRPr="008D21C4" w14:paraId="22C07278" w14:textId="77777777" w:rsidTr="0BC0C58E">
        <w:trPr>
          <w:trHeight w:val="280"/>
        </w:trPr>
        <w:tc>
          <w:tcPr>
            <w:tcW w:w="1170" w:type="dxa"/>
            <w:tcBorders>
              <w:top w:val="nil"/>
              <w:left w:val="single" w:sz="12" w:space="0" w:color="auto"/>
              <w:bottom w:val="single" w:sz="12" w:space="0" w:color="auto"/>
              <w:right w:val="single" w:sz="4" w:space="0" w:color="auto"/>
            </w:tcBorders>
            <w:shd w:val="clear" w:color="auto" w:fill="E8E8E8"/>
            <w:noWrap/>
            <w:vAlign w:val="bottom"/>
            <w:hideMark/>
          </w:tcPr>
          <w:p w14:paraId="21771468" w14:textId="5D890E00"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190</w:t>
            </w:r>
          </w:p>
        </w:tc>
        <w:tc>
          <w:tcPr>
            <w:tcW w:w="3991" w:type="dxa"/>
            <w:tcBorders>
              <w:top w:val="nil"/>
              <w:left w:val="single" w:sz="12" w:space="0" w:color="auto"/>
              <w:bottom w:val="single" w:sz="12" w:space="0" w:color="auto"/>
              <w:right w:val="single" w:sz="12" w:space="0" w:color="auto"/>
            </w:tcBorders>
            <w:shd w:val="clear" w:color="auto" w:fill="E8E8E8"/>
            <w:noWrap/>
            <w:vAlign w:val="bottom"/>
            <w:hideMark/>
          </w:tcPr>
          <w:p w14:paraId="70569F6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(Income)</w:t>
            </w:r>
          </w:p>
        </w:tc>
        <w:tc>
          <w:tcPr>
            <w:tcW w:w="1026" w:type="dxa"/>
            <w:tcBorders>
              <w:top w:val="nil"/>
              <w:left w:val="nil"/>
              <w:bottom w:val="single" w:sz="12" w:space="0" w:color="auto"/>
              <w:right w:val="single" w:sz="4" w:space="0" w:color="auto"/>
            </w:tcBorders>
            <w:shd w:val="clear" w:color="auto" w:fill="E8E8E8"/>
            <w:noWrap/>
            <w:vAlign w:val="bottom"/>
            <w:hideMark/>
          </w:tcPr>
          <w:p w14:paraId="462D8F5A" w14:textId="2904445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w:t>
            </w:r>
            <w:r w:rsidR="00B335B3">
              <w:rPr>
                <w:rFonts w:eastAsia="Times New Roman" w:cs="Times New Roman"/>
                <w:b/>
                <w:bCs/>
                <w:color w:val="000000"/>
                <w:kern w:val="0"/>
                <w:sz w:val="20"/>
                <w:szCs w:val="20"/>
                <w:lang w:eastAsia="en-GB"/>
                <w14:ligatures w14:val="none"/>
              </w:rPr>
              <w:t>579</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5CE1493C" w14:textId="757A02B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2,013</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49C35EF5" w14:textId="6CC0CB3D"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2,088</w:t>
            </w:r>
          </w:p>
        </w:tc>
        <w:tc>
          <w:tcPr>
            <w:tcW w:w="1125" w:type="dxa"/>
            <w:tcBorders>
              <w:top w:val="nil"/>
              <w:left w:val="single" w:sz="12" w:space="0" w:color="auto"/>
              <w:bottom w:val="single" w:sz="12" w:space="0" w:color="auto"/>
              <w:right w:val="single" w:sz="12" w:space="0" w:color="auto"/>
            </w:tcBorders>
            <w:shd w:val="clear" w:color="auto" w:fill="E8E8E8"/>
            <w:noWrap/>
            <w:vAlign w:val="bottom"/>
            <w:hideMark/>
          </w:tcPr>
          <w:p w14:paraId="671EC6E0" w14:textId="53015E2E"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2,165</w:t>
            </w:r>
          </w:p>
        </w:tc>
      </w:tr>
      <w:tr w:rsidR="005A0712" w:rsidRPr="008D21C4" w14:paraId="4CAE6B35" w14:textId="77777777" w:rsidTr="0BC0C58E">
        <w:trPr>
          <w:trHeight w:val="270"/>
        </w:trPr>
        <w:tc>
          <w:tcPr>
            <w:tcW w:w="1170" w:type="dxa"/>
            <w:tcBorders>
              <w:top w:val="single" w:sz="4" w:space="0" w:color="auto"/>
              <w:left w:val="single" w:sz="12" w:space="0" w:color="auto"/>
              <w:bottom w:val="single" w:sz="4" w:space="0" w:color="auto"/>
              <w:right w:val="single" w:sz="4" w:space="0" w:color="auto"/>
            </w:tcBorders>
            <w:noWrap/>
            <w:vAlign w:val="bottom"/>
            <w:hideMark/>
          </w:tcPr>
          <w:p w14:paraId="4BF41912" w14:textId="62B99D8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6E729935"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from Reserves</w:t>
            </w:r>
          </w:p>
        </w:tc>
        <w:tc>
          <w:tcPr>
            <w:tcW w:w="1026" w:type="dxa"/>
            <w:tcBorders>
              <w:top w:val="single" w:sz="4" w:space="0" w:color="auto"/>
              <w:left w:val="nil"/>
              <w:bottom w:val="single" w:sz="4" w:space="0" w:color="auto"/>
              <w:right w:val="single" w:sz="4" w:space="0" w:color="auto"/>
            </w:tcBorders>
            <w:noWrap/>
            <w:vAlign w:val="bottom"/>
            <w:hideMark/>
          </w:tcPr>
          <w:p w14:paraId="3D6C8602" w14:textId="35A4F3A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075DC908" w14:textId="03887AA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3F5E444" w14:textId="1F4E4EA3"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single" w:sz="4" w:space="0" w:color="auto"/>
              <w:left w:val="single" w:sz="12" w:space="0" w:color="auto"/>
              <w:bottom w:val="single" w:sz="4" w:space="0" w:color="auto"/>
              <w:right w:val="single" w:sz="12" w:space="0" w:color="auto"/>
            </w:tcBorders>
            <w:noWrap/>
            <w:vAlign w:val="bottom"/>
            <w:hideMark/>
          </w:tcPr>
          <w:p w14:paraId="7B42CC8E" w14:textId="09455D3C"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314312AC" w14:textId="77777777" w:rsidTr="0BC0C58E">
        <w:trPr>
          <w:trHeight w:val="270"/>
        </w:trPr>
        <w:tc>
          <w:tcPr>
            <w:tcW w:w="1170" w:type="dxa"/>
            <w:tcBorders>
              <w:top w:val="nil"/>
              <w:left w:val="single" w:sz="12" w:space="0" w:color="auto"/>
              <w:bottom w:val="single" w:sz="4" w:space="0" w:color="auto"/>
              <w:right w:val="single" w:sz="4" w:space="0" w:color="auto"/>
            </w:tcBorders>
            <w:noWrap/>
            <w:vAlign w:val="bottom"/>
            <w:hideMark/>
          </w:tcPr>
          <w:p w14:paraId="5A53A166" w14:textId="180418C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991" w:type="dxa"/>
            <w:tcBorders>
              <w:top w:val="nil"/>
              <w:left w:val="single" w:sz="12" w:space="0" w:color="auto"/>
              <w:bottom w:val="single" w:sz="4" w:space="0" w:color="auto"/>
              <w:right w:val="single" w:sz="12" w:space="0" w:color="auto"/>
            </w:tcBorders>
            <w:shd w:val="clear" w:color="auto" w:fill="E8E8E8"/>
            <w:vAlign w:val="bottom"/>
            <w:hideMark/>
          </w:tcPr>
          <w:p w14:paraId="5563BB64"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To Reserves</w:t>
            </w:r>
          </w:p>
        </w:tc>
        <w:tc>
          <w:tcPr>
            <w:tcW w:w="1026" w:type="dxa"/>
            <w:tcBorders>
              <w:top w:val="nil"/>
              <w:left w:val="nil"/>
              <w:bottom w:val="single" w:sz="4" w:space="0" w:color="auto"/>
              <w:right w:val="single" w:sz="4" w:space="0" w:color="auto"/>
            </w:tcBorders>
            <w:noWrap/>
            <w:vAlign w:val="bottom"/>
            <w:hideMark/>
          </w:tcPr>
          <w:p w14:paraId="6E18D666" w14:textId="5F727566"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9E5F68C" w14:textId="7FAF858A"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6303D7E" w14:textId="4E27B6D1"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25" w:type="dxa"/>
            <w:tcBorders>
              <w:top w:val="nil"/>
              <w:left w:val="single" w:sz="12" w:space="0" w:color="auto"/>
              <w:bottom w:val="single" w:sz="4" w:space="0" w:color="auto"/>
              <w:right w:val="single" w:sz="12" w:space="0" w:color="auto"/>
            </w:tcBorders>
            <w:noWrap/>
            <w:vAlign w:val="bottom"/>
            <w:hideMark/>
          </w:tcPr>
          <w:p w14:paraId="53B3BC13" w14:textId="7795801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3F830DB0" w14:textId="77777777" w:rsidTr="0BC0C58E">
        <w:trPr>
          <w:trHeight w:val="280"/>
        </w:trPr>
        <w:tc>
          <w:tcPr>
            <w:tcW w:w="117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5302E4B" w14:textId="600C32E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190</w:t>
            </w:r>
          </w:p>
        </w:tc>
        <w:tc>
          <w:tcPr>
            <w:tcW w:w="3991"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46CDCF8" w14:textId="75086502"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after Contribution to/(From) Reserves</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6F65FB52" w14:textId="12518D47"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2,285</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66761D7" w14:textId="4EDC0605"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2,013</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3721420F" w14:textId="0CAEEB09"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2,088</w:t>
            </w:r>
          </w:p>
        </w:tc>
        <w:tc>
          <w:tcPr>
            <w:tcW w:w="1125"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11F001D5" w14:textId="18D8FC12" w:rsidR="00CD6EE7" w:rsidRPr="008D21C4" w:rsidRDefault="00CD6EE7" w:rsidP="00A446F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2,165</w:t>
            </w:r>
          </w:p>
        </w:tc>
      </w:tr>
    </w:tbl>
    <w:p w14:paraId="140C2141" w14:textId="77777777" w:rsidR="001716C7" w:rsidRDefault="001716C7">
      <w:r>
        <w:br w:type="page"/>
      </w:r>
    </w:p>
    <w:tbl>
      <w:tblPr>
        <w:tblW w:w="9671" w:type="dxa"/>
        <w:tblLook w:val="04A0" w:firstRow="1" w:lastRow="0" w:firstColumn="1" w:lastColumn="0" w:noHBand="0" w:noVBand="1"/>
      </w:tblPr>
      <w:tblGrid>
        <w:gridCol w:w="1170"/>
        <w:gridCol w:w="3870"/>
        <w:gridCol w:w="1147"/>
        <w:gridCol w:w="1172"/>
        <w:gridCol w:w="1172"/>
        <w:gridCol w:w="1140"/>
      </w:tblGrid>
      <w:tr w:rsidR="00CD6EE7" w:rsidRPr="008D21C4" w14:paraId="447A2F25" w14:textId="77777777" w:rsidTr="4C446D1D">
        <w:trPr>
          <w:trHeight w:val="280"/>
        </w:trPr>
        <w:tc>
          <w:tcPr>
            <w:tcW w:w="1170" w:type="dxa"/>
            <w:tcBorders>
              <w:top w:val="nil"/>
              <w:left w:val="nil"/>
              <w:bottom w:val="nil"/>
              <w:right w:val="nil"/>
            </w:tcBorders>
            <w:noWrap/>
            <w:vAlign w:val="bottom"/>
            <w:hideMark/>
          </w:tcPr>
          <w:p w14:paraId="21B0F374" w14:textId="252EEB78" w:rsidR="00CD6EE7" w:rsidRPr="008D21C4" w:rsidRDefault="00CD6EE7" w:rsidP="00CD6EE7">
            <w:pPr>
              <w:rPr>
                <w:rFonts w:eastAsia="Times New Roman" w:cs="Times New Roman"/>
                <w:b/>
                <w:bCs/>
                <w:color w:val="000000"/>
                <w:kern w:val="0"/>
                <w:sz w:val="20"/>
                <w:szCs w:val="20"/>
                <w:lang w:eastAsia="en-GB"/>
                <w14:ligatures w14:val="none"/>
              </w:rPr>
            </w:pPr>
          </w:p>
        </w:tc>
        <w:tc>
          <w:tcPr>
            <w:tcW w:w="3870" w:type="dxa"/>
            <w:tcBorders>
              <w:top w:val="nil"/>
              <w:left w:val="nil"/>
              <w:bottom w:val="nil"/>
              <w:right w:val="nil"/>
            </w:tcBorders>
            <w:noWrap/>
            <w:vAlign w:val="bottom"/>
            <w:hideMark/>
          </w:tcPr>
          <w:p w14:paraId="1C786CCE"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47" w:type="dxa"/>
            <w:tcBorders>
              <w:top w:val="nil"/>
              <w:left w:val="nil"/>
              <w:bottom w:val="nil"/>
              <w:right w:val="nil"/>
            </w:tcBorders>
            <w:noWrap/>
            <w:vAlign w:val="bottom"/>
            <w:hideMark/>
          </w:tcPr>
          <w:p w14:paraId="52F2CF23"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48014350"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7380267B"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140" w:type="dxa"/>
            <w:tcBorders>
              <w:top w:val="nil"/>
              <w:left w:val="nil"/>
              <w:bottom w:val="nil"/>
              <w:right w:val="nil"/>
            </w:tcBorders>
            <w:noWrap/>
            <w:vAlign w:val="bottom"/>
            <w:hideMark/>
          </w:tcPr>
          <w:p w14:paraId="16513565"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r>
      <w:tr w:rsidR="005A0712" w:rsidRPr="008D21C4" w14:paraId="71384011" w14:textId="77777777" w:rsidTr="4C446D1D">
        <w:trPr>
          <w:trHeight w:val="270"/>
        </w:trPr>
        <w:tc>
          <w:tcPr>
            <w:tcW w:w="1170" w:type="dxa"/>
            <w:tcBorders>
              <w:top w:val="single" w:sz="12" w:space="0" w:color="auto"/>
              <w:left w:val="single" w:sz="12" w:space="0" w:color="auto"/>
              <w:bottom w:val="nil"/>
              <w:right w:val="single" w:sz="4" w:space="0" w:color="auto"/>
            </w:tcBorders>
            <w:shd w:val="clear" w:color="auto" w:fill="E8E8E8"/>
            <w:hideMark/>
          </w:tcPr>
          <w:p w14:paraId="1E6F74E9" w14:textId="6626F507"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025/26</w:t>
            </w:r>
          </w:p>
        </w:tc>
        <w:tc>
          <w:tcPr>
            <w:tcW w:w="3870" w:type="dxa"/>
            <w:tcBorders>
              <w:top w:val="single" w:sz="12" w:space="0" w:color="auto"/>
              <w:left w:val="single" w:sz="12" w:space="0" w:color="auto"/>
              <w:bottom w:val="nil"/>
              <w:right w:val="single" w:sz="12" w:space="0" w:color="auto"/>
            </w:tcBorders>
            <w:shd w:val="clear" w:color="auto" w:fill="E8E8E8"/>
            <w:noWrap/>
            <w:vAlign w:val="bottom"/>
            <w:hideMark/>
          </w:tcPr>
          <w:p w14:paraId="34E4D9A6"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Business Solutions</w:t>
            </w:r>
          </w:p>
        </w:tc>
        <w:tc>
          <w:tcPr>
            <w:tcW w:w="1147" w:type="dxa"/>
            <w:tcBorders>
              <w:top w:val="single" w:sz="12" w:space="0" w:color="auto"/>
              <w:left w:val="nil"/>
              <w:bottom w:val="nil"/>
              <w:right w:val="single" w:sz="12" w:space="0" w:color="auto"/>
            </w:tcBorders>
            <w:shd w:val="clear" w:color="auto" w:fill="E8E8E8"/>
            <w:hideMark/>
          </w:tcPr>
          <w:p w14:paraId="4A7E8853" w14:textId="44CE693A"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026/27</w:t>
            </w:r>
          </w:p>
        </w:tc>
        <w:tc>
          <w:tcPr>
            <w:tcW w:w="1172" w:type="dxa"/>
            <w:tcBorders>
              <w:top w:val="single" w:sz="12" w:space="0" w:color="auto"/>
              <w:left w:val="nil"/>
              <w:bottom w:val="nil"/>
              <w:right w:val="single" w:sz="12" w:space="0" w:color="auto"/>
            </w:tcBorders>
            <w:shd w:val="clear" w:color="auto" w:fill="E8E8E8"/>
            <w:hideMark/>
          </w:tcPr>
          <w:p w14:paraId="7340BBE1" w14:textId="64621755"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027/28</w:t>
            </w:r>
          </w:p>
        </w:tc>
        <w:tc>
          <w:tcPr>
            <w:tcW w:w="1172" w:type="dxa"/>
            <w:tcBorders>
              <w:top w:val="single" w:sz="12" w:space="0" w:color="auto"/>
              <w:left w:val="nil"/>
              <w:bottom w:val="nil"/>
              <w:right w:val="single" w:sz="12" w:space="0" w:color="auto"/>
            </w:tcBorders>
            <w:shd w:val="clear" w:color="auto" w:fill="E8E8E8"/>
            <w:hideMark/>
          </w:tcPr>
          <w:p w14:paraId="15749DE1" w14:textId="28714695"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028/29</w:t>
            </w:r>
          </w:p>
        </w:tc>
        <w:tc>
          <w:tcPr>
            <w:tcW w:w="1140" w:type="dxa"/>
            <w:tcBorders>
              <w:top w:val="single" w:sz="12" w:space="0" w:color="auto"/>
              <w:left w:val="nil"/>
              <w:bottom w:val="nil"/>
              <w:right w:val="single" w:sz="12" w:space="0" w:color="auto"/>
            </w:tcBorders>
            <w:shd w:val="clear" w:color="auto" w:fill="E8E8E8"/>
            <w:hideMark/>
          </w:tcPr>
          <w:p w14:paraId="35D96D06" w14:textId="0724D7D1"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029/30</w:t>
            </w:r>
          </w:p>
        </w:tc>
      </w:tr>
      <w:tr w:rsidR="005A0712" w:rsidRPr="008D21C4" w14:paraId="7B8A5953" w14:textId="77777777" w:rsidTr="4C446D1D">
        <w:trPr>
          <w:trHeight w:val="270"/>
        </w:trPr>
        <w:tc>
          <w:tcPr>
            <w:tcW w:w="1170" w:type="dxa"/>
            <w:tcBorders>
              <w:top w:val="nil"/>
              <w:left w:val="single" w:sz="12" w:space="0" w:color="auto"/>
              <w:bottom w:val="single" w:sz="12" w:space="0" w:color="auto"/>
              <w:right w:val="single" w:sz="4" w:space="0" w:color="auto"/>
            </w:tcBorders>
            <w:shd w:val="clear" w:color="auto" w:fill="E8E8E8"/>
            <w:noWrap/>
            <w:vAlign w:val="bottom"/>
            <w:hideMark/>
          </w:tcPr>
          <w:p w14:paraId="15FEB18F"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3870" w:type="dxa"/>
            <w:tcBorders>
              <w:top w:val="nil"/>
              <w:left w:val="single" w:sz="12" w:space="0" w:color="auto"/>
              <w:bottom w:val="single" w:sz="12" w:space="0" w:color="auto"/>
              <w:right w:val="single" w:sz="12" w:space="0" w:color="auto"/>
            </w:tcBorders>
            <w:shd w:val="clear" w:color="auto" w:fill="E8E8E8"/>
            <w:noWrap/>
            <w:vAlign w:val="bottom"/>
            <w:hideMark/>
          </w:tcPr>
          <w:p w14:paraId="66EE6548"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Type of Expenditure / Income </w:t>
            </w:r>
          </w:p>
        </w:tc>
        <w:tc>
          <w:tcPr>
            <w:tcW w:w="1147" w:type="dxa"/>
            <w:tcBorders>
              <w:top w:val="nil"/>
              <w:left w:val="nil"/>
              <w:bottom w:val="single" w:sz="12" w:space="0" w:color="auto"/>
              <w:right w:val="single" w:sz="12" w:space="0" w:color="auto"/>
            </w:tcBorders>
            <w:shd w:val="clear" w:color="auto" w:fill="E8E8E8"/>
            <w:noWrap/>
            <w:vAlign w:val="bottom"/>
            <w:hideMark/>
          </w:tcPr>
          <w:p w14:paraId="62B06D0C"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255442CC"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2C9352FE"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40" w:type="dxa"/>
            <w:tcBorders>
              <w:top w:val="nil"/>
              <w:left w:val="nil"/>
              <w:bottom w:val="single" w:sz="12" w:space="0" w:color="auto"/>
              <w:right w:val="single" w:sz="12" w:space="0" w:color="auto"/>
            </w:tcBorders>
            <w:shd w:val="clear" w:color="auto" w:fill="E8E8E8"/>
            <w:noWrap/>
            <w:vAlign w:val="bottom"/>
            <w:hideMark/>
          </w:tcPr>
          <w:p w14:paraId="2AE3ADAC"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r>
      <w:tr w:rsidR="005A0712" w:rsidRPr="008D21C4" w14:paraId="417D92F5" w14:textId="77777777" w:rsidTr="4C446D1D">
        <w:trPr>
          <w:trHeight w:val="270"/>
        </w:trPr>
        <w:tc>
          <w:tcPr>
            <w:tcW w:w="1170" w:type="dxa"/>
            <w:tcBorders>
              <w:top w:val="single" w:sz="4" w:space="0" w:color="auto"/>
              <w:left w:val="single" w:sz="12" w:space="0" w:color="auto"/>
              <w:bottom w:val="single" w:sz="4" w:space="0" w:color="auto"/>
              <w:right w:val="single" w:sz="4" w:space="0" w:color="auto"/>
            </w:tcBorders>
            <w:noWrap/>
            <w:vAlign w:val="bottom"/>
            <w:hideMark/>
          </w:tcPr>
          <w:p w14:paraId="0591CE0D" w14:textId="48E5935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3,028</w:t>
            </w:r>
          </w:p>
        </w:tc>
        <w:tc>
          <w:tcPr>
            <w:tcW w:w="3870"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459A76C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Employees</w:t>
            </w:r>
          </w:p>
        </w:tc>
        <w:tc>
          <w:tcPr>
            <w:tcW w:w="1147" w:type="dxa"/>
            <w:tcBorders>
              <w:top w:val="single" w:sz="4" w:space="0" w:color="auto"/>
              <w:left w:val="nil"/>
              <w:bottom w:val="single" w:sz="4" w:space="0" w:color="auto"/>
              <w:right w:val="single" w:sz="4" w:space="0" w:color="auto"/>
            </w:tcBorders>
            <w:noWrap/>
            <w:vAlign w:val="bottom"/>
            <w:hideMark/>
          </w:tcPr>
          <w:p w14:paraId="51CC8B83" w14:textId="56EE8A1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3,057</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2F10EFCA" w14:textId="091A541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3,128</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7CBF1FF" w14:textId="59F83D1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3,201</w:t>
            </w:r>
          </w:p>
        </w:tc>
        <w:tc>
          <w:tcPr>
            <w:tcW w:w="1140" w:type="dxa"/>
            <w:tcBorders>
              <w:top w:val="single" w:sz="4" w:space="0" w:color="auto"/>
              <w:left w:val="single" w:sz="12" w:space="0" w:color="auto"/>
              <w:bottom w:val="single" w:sz="4" w:space="0" w:color="auto"/>
              <w:right w:val="single" w:sz="12" w:space="0" w:color="auto"/>
            </w:tcBorders>
            <w:noWrap/>
            <w:vAlign w:val="bottom"/>
            <w:hideMark/>
          </w:tcPr>
          <w:p w14:paraId="260FA6C5" w14:textId="7011CCD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3,276</w:t>
            </w:r>
          </w:p>
        </w:tc>
      </w:tr>
      <w:tr w:rsidR="005A0712" w:rsidRPr="008D21C4" w14:paraId="5D250D15"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097B8E1C" w14:textId="0A21024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64077820"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Premises</w:t>
            </w:r>
          </w:p>
        </w:tc>
        <w:tc>
          <w:tcPr>
            <w:tcW w:w="1147" w:type="dxa"/>
            <w:tcBorders>
              <w:top w:val="nil"/>
              <w:left w:val="nil"/>
              <w:bottom w:val="single" w:sz="4" w:space="0" w:color="auto"/>
              <w:right w:val="single" w:sz="4" w:space="0" w:color="auto"/>
            </w:tcBorders>
            <w:noWrap/>
            <w:vAlign w:val="bottom"/>
            <w:hideMark/>
          </w:tcPr>
          <w:p w14:paraId="0D98470F" w14:textId="4B7CC83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5EABF5A" w14:textId="10BB7A6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9BB9C50" w14:textId="73E0BDC1"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6D6880E0" w14:textId="08F1B7EA"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605D8241"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7173B445" w14:textId="5789215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22</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7ED7AC8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Transport</w:t>
            </w:r>
          </w:p>
        </w:tc>
        <w:tc>
          <w:tcPr>
            <w:tcW w:w="1147" w:type="dxa"/>
            <w:tcBorders>
              <w:top w:val="nil"/>
              <w:left w:val="nil"/>
              <w:bottom w:val="single" w:sz="4" w:space="0" w:color="auto"/>
              <w:right w:val="single" w:sz="4" w:space="0" w:color="auto"/>
            </w:tcBorders>
            <w:noWrap/>
            <w:vAlign w:val="bottom"/>
            <w:hideMark/>
          </w:tcPr>
          <w:p w14:paraId="3301D15E" w14:textId="090FD004"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22</w:t>
            </w:r>
          </w:p>
        </w:tc>
        <w:tc>
          <w:tcPr>
            <w:tcW w:w="1172" w:type="dxa"/>
            <w:tcBorders>
              <w:top w:val="nil"/>
              <w:left w:val="single" w:sz="12" w:space="0" w:color="auto"/>
              <w:bottom w:val="single" w:sz="4" w:space="0" w:color="auto"/>
              <w:right w:val="single" w:sz="4" w:space="0" w:color="auto"/>
            </w:tcBorders>
            <w:noWrap/>
            <w:vAlign w:val="bottom"/>
            <w:hideMark/>
          </w:tcPr>
          <w:p w14:paraId="67C9CA67" w14:textId="2828C11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22</w:t>
            </w:r>
          </w:p>
        </w:tc>
        <w:tc>
          <w:tcPr>
            <w:tcW w:w="1172" w:type="dxa"/>
            <w:tcBorders>
              <w:top w:val="nil"/>
              <w:left w:val="single" w:sz="12" w:space="0" w:color="auto"/>
              <w:bottom w:val="single" w:sz="4" w:space="0" w:color="auto"/>
              <w:right w:val="single" w:sz="4" w:space="0" w:color="auto"/>
            </w:tcBorders>
            <w:noWrap/>
            <w:vAlign w:val="bottom"/>
            <w:hideMark/>
          </w:tcPr>
          <w:p w14:paraId="4366C7A8" w14:textId="03165EA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22</w:t>
            </w:r>
          </w:p>
        </w:tc>
        <w:tc>
          <w:tcPr>
            <w:tcW w:w="1140" w:type="dxa"/>
            <w:tcBorders>
              <w:top w:val="nil"/>
              <w:left w:val="single" w:sz="12" w:space="0" w:color="auto"/>
              <w:bottom w:val="single" w:sz="4" w:space="0" w:color="auto"/>
              <w:right w:val="single" w:sz="12" w:space="0" w:color="auto"/>
            </w:tcBorders>
            <w:noWrap/>
            <w:vAlign w:val="bottom"/>
            <w:hideMark/>
          </w:tcPr>
          <w:p w14:paraId="590643A2" w14:textId="0E80222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22</w:t>
            </w:r>
          </w:p>
        </w:tc>
      </w:tr>
      <w:tr w:rsidR="005A0712" w:rsidRPr="008D21C4" w14:paraId="34F5871C"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7E5AE0BC" w14:textId="0A30BB8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93,622</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7F6C866D"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Supplies and Services</w:t>
            </w:r>
          </w:p>
        </w:tc>
        <w:tc>
          <w:tcPr>
            <w:tcW w:w="1147" w:type="dxa"/>
            <w:tcBorders>
              <w:top w:val="nil"/>
              <w:left w:val="nil"/>
              <w:bottom w:val="single" w:sz="4" w:space="0" w:color="auto"/>
              <w:right w:val="single" w:sz="4" w:space="0" w:color="auto"/>
            </w:tcBorders>
            <w:noWrap/>
            <w:vAlign w:val="bottom"/>
            <w:hideMark/>
          </w:tcPr>
          <w:p w14:paraId="016E06CD" w14:textId="35BEBD8A"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60,044</w:t>
            </w:r>
          </w:p>
        </w:tc>
        <w:tc>
          <w:tcPr>
            <w:tcW w:w="1172" w:type="dxa"/>
            <w:tcBorders>
              <w:top w:val="nil"/>
              <w:left w:val="single" w:sz="12" w:space="0" w:color="auto"/>
              <w:bottom w:val="single" w:sz="4" w:space="0" w:color="auto"/>
              <w:right w:val="single" w:sz="4" w:space="0" w:color="auto"/>
            </w:tcBorders>
            <w:noWrap/>
            <w:vAlign w:val="bottom"/>
            <w:hideMark/>
          </w:tcPr>
          <w:p w14:paraId="75079C0B" w14:textId="23446BB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60,044</w:t>
            </w:r>
          </w:p>
        </w:tc>
        <w:tc>
          <w:tcPr>
            <w:tcW w:w="1172" w:type="dxa"/>
            <w:tcBorders>
              <w:top w:val="nil"/>
              <w:left w:val="single" w:sz="12" w:space="0" w:color="auto"/>
              <w:bottom w:val="single" w:sz="4" w:space="0" w:color="auto"/>
              <w:right w:val="single" w:sz="4" w:space="0" w:color="auto"/>
            </w:tcBorders>
            <w:noWrap/>
            <w:vAlign w:val="bottom"/>
            <w:hideMark/>
          </w:tcPr>
          <w:p w14:paraId="3FFA4D54" w14:textId="02FCD5E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60,045</w:t>
            </w:r>
          </w:p>
        </w:tc>
        <w:tc>
          <w:tcPr>
            <w:tcW w:w="1140" w:type="dxa"/>
            <w:tcBorders>
              <w:top w:val="nil"/>
              <w:left w:val="single" w:sz="12" w:space="0" w:color="auto"/>
              <w:bottom w:val="single" w:sz="4" w:space="0" w:color="auto"/>
              <w:right w:val="single" w:sz="12" w:space="0" w:color="auto"/>
            </w:tcBorders>
            <w:noWrap/>
            <w:vAlign w:val="bottom"/>
            <w:hideMark/>
          </w:tcPr>
          <w:p w14:paraId="00757426" w14:textId="78106274"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60,046</w:t>
            </w:r>
          </w:p>
        </w:tc>
      </w:tr>
      <w:tr w:rsidR="005A0712" w:rsidRPr="008D21C4" w14:paraId="08ABC400"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4A4D0494" w14:textId="4688915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172</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07B58B15"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Third Party Payments</w:t>
            </w:r>
          </w:p>
        </w:tc>
        <w:tc>
          <w:tcPr>
            <w:tcW w:w="1147" w:type="dxa"/>
            <w:tcBorders>
              <w:top w:val="nil"/>
              <w:left w:val="nil"/>
              <w:bottom w:val="single" w:sz="4" w:space="0" w:color="auto"/>
              <w:right w:val="single" w:sz="4" w:space="0" w:color="auto"/>
            </w:tcBorders>
            <w:noWrap/>
            <w:vAlign w:val="bottom"/>
            <w:hideMark/>
          </w:tcPr>
          <w:p w14:paraId="5AA5503C" w14:textId="735B39A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3040310" w14:textId="4AE6948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BF63A8E" w14:textId="269B75E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503126D6" w14:textId="56FE1C04"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74E45F0"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408AE8D3" w14:textId="08430D54"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2C12C2AA" w14:textId="56BC8BCF" w:rsidR="00CD6EE7" w:rsidRPr="008D21C4" w:rsidRDefault="00635E64" w:rsidP="00CD6EE7">
            <w:pPr>
              <w:rPr>
                <w:rFonts w:eastAsia="Times New Roman" w:cs="Times New Roman"/>
                <w:b/>
                <w:bCs/>
                <w:color w:val="000000"/>
                <w:kern w:val="0"/>
                <w:sz w:val="20"/>
                <w:szCs w:val="20"/>
                <w:lang w:eastAsia="en-GB"/>
                <w14:ligatures w14:val="none"/>
              </w:rPr>
            </w:pPr>
            <w:r w:rsidRPr="008D21C4">
              <w:rPr>
                <w:rFonts w:eastAsia="Times New Roman" w:cs="Times New Roman"/>
                <w:b/>
                <w:color w:val="000000"/>
                <w:kern w:val="0"/>
                <w:sz w:val="20"/>
                <w:szCs w:val="20"/>
                <w:lang w:eastAsia="en-GB"/>
                <w14:ligatures w14:val="none"/>
              </w:rPr>
              <w:t>Corporat</w:t>
            </w:r>
            <w:r>
              <w:rPr>
                <w:rFonts w:eastAsia="Times New Roman" w:cs="Times New Roman"/>
                <w:b/>
                <w:color w:val="000000"/>
                <w:kern w:val="0"/>
                <w:sz w:val="20"/>
                <w:szCs w:val="20"/>
                <w:lang w:eastAsia="en-GB"/>
                <w14:ligatures w14:val="none"/>
              </w:rPr>
              <w:t>e Support Recharges</w:t>
            </w:r>
          </w:p>
        </w:tc>
        <w:tc>
          <w:tcPr>
            <w:tcW w:w="1147" w:type="dxa"/>
            <w:tcBorders>
              <w:top w:val="nil"/>
              <w:left w:val="nil"/>
              <w:bottom w:val="single" w:sz="4" w:space="0" w:color="auto"/>
              <w:right w:val="single" w:sz="4" w:space="0" w:color="auto"/>
            </w:tcBorders>
            <w:noWrap/>
            <w:vAlign w:val="bottom"/>
            <w:hideMark/>
          </w:tcPr>
          <w:p w14:paraId="66C2CFB1" w14:textId="4D44257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AA6B4A2" w14:textId="26EC19E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86C83F1" w14:textId="3026071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060E8D45" w14:textId="37FB1BF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4575C029" w14:textId="77777777" w:rsidTr="4C446D1D">
        <w:trPr>
          <w:trHeight w:val="270"/>
        </w:trPr>
        <w:tc>
          <w:tcPr>
            <w:tcW w:w="1170" w:type="dxa"/>
            <w:tcBorders>
              <w:top w:val="nil"/>
              <w:left w:val="single" w:sz="12" w:space="0" w:color="auto"/>
              <w:bottom w:val="single" w:sz="4" w:space="0" w:color="auto"/>
              <w:right w:val="single" w:sz="4" w:space="0" w:color="auto"/>
            </w:tcBorders>
            <w:noWrap/>
            <w:vAlign w:val="bottom"/>
            <w:hideMark/>
          </w:tcPr>
          <w:p w14:paraId="10DDF908" w14:textId="58F51F7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2EA770AA" w14:textId="2D945FDC" w:rsidR="00CD6EE7" w:rsidRPr="008D21C4" w:rsidRDefault="00E0706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Central Costs</w:t>
            </w:r>
          </w:p>
        </w:tc>
        <w:tc>
          <w:tcPr>
            <w:tcW w:w="1147" w:type="dxa"/>
            <w:tcBorders>
              <w:top w:val="nil"/>
              <w:left w:val="nil"/>
              <w:bottom w:val="single" w:sz="4" w:space="0" w:color="auto"/>
              <w:right w:val="single" w:sz="4" w:space="0" w:color="auto"/>
            </w:tcBorders>
            <w:noWrap/>
            <w:vAlign w:val="bottom"/>
            <w:hideMark/>
          </w:tcPr>
          <w:p w14:paraId="6899EB8B" w14:textId="7E0B07B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3EE1FC4" w14:textId="32EC48A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1458E1A" w14:textId="24FA2711"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34694480" w14:textId="6253CA3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3A33CD2" w14:textId="77777777" w:rsidTr="4C446D1D">
        <w:trPr>
          <w:trHeight w:val="280"/>
        </w:trPr>
        <w:tc>
          <w:tcPr>
            <w:tcW w:w="117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159C0AE" w14:textId="4CF8A53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96,844</w:t>
            </w:r>
          </w:p>
        </w:tc>
        <w:tc>
          <w:tcPr>
            <w:tcW w:w="387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7B41C09A"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Expenditure</w:t>
            </w:r>
          </w:p>
        </w:tc>
        <w:tc>
          <w:tcPr>
            <w:tcW w:w="1147" w:type="dxa"/>
            <w:tcBorders>
              <w:top w:val="single" w:sz="12" w:space="0" w:color="auto"/>
              <w:left w:val="nil"/>
              <w:bottom w:val="single" w:sz="12" w:space="0" w:color="auto"/>
              <w:right w:val="single" w:sz="4" w:space="0" w:color="auto"/>
            </w:tcBorders>
            <w:shd w:val="clear" w:color="auto" w:fill="E8E8E8"/>
            <w:noWrap/>
            <w:vAlign w:val="bottom"/>
            <w:hideMark/>
          </w:tcPr>
          <w:p w14:paraId="2486DBA4" w14:textId="0665E69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63,123</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4A4FA9E" w14:textId="4826332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63,194</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82F69A6" w14:textId="76EC95A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63,268</w:t>
            </w:r>
          </w:p>
        </w:tc>
        <w:tc>
          <w:tcPr>
            <w:tcW w:w="114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DF4CE83" w14:textId="5B24080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63,344</w:t>
            </w:r>
          </w:p>
        </w:tc>
      </w:tr>
      <w:tr w:rsidR="005A0712" w:rsidRPr="008D21C4" w14:paraId="38064E7C" w14:textId="77777777" w:rsidTr="4C446D1D">
        <w:trPr>
          <w:trHeight w:val="270"/>
        </w:trPr>
        <w:tc>
          <w:tcPr>
            <w:tcW w:w="1170" w:type="dxa"/>
            <w:tcBorders>
              <w:top w:val="single" w:sz="4" w:space="0" w:color="auto"/>
              <w:left w:val="single" w:sz="12" w:space="0" w:color="auto"/>
              <w:bottom w:val="single" w:sz="4" w:space="0" w:color="auto"/>
              <w:right w:val="single" w:sz="4" w:space="0" w:color="auto"/>
            </w:tcBorders>
            <w:noWrap/>
            <w:vAlign w:val="bottom"/>
            <w:hideMark/>
          </w:tcPr>
          <w:p w14:paraId="58613E32" w14:textId="1EDE726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259BF26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Charges</w:t>
            </w:r>
          </w:p>
        </w:tc>
        <w:tc>
          <w:tcPr>
            <w:tcW w:w="1147" w:type="dxa"/>
            <w:tcBorders>
              <w:top w:val="single" w:sz="4" w:space="0" w:color="auto"/>
              <w:left w:val="nil"/>
              <w:bottom w:val="single" w:sz="4" w:space="0" w:color="auto"/>
              <w:right w:val="single" w:sz="4" w:space="0" w:color="auto"/>
            </w:tcBorders>
            <w:noWrap/>
            <w:vAlign w:val="bottom"/>
            <w:hideMark/>
          </w:tcPr>
          <w:p w14:paraId="6AAE7ADB" w14:textId="2231BA1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42AC1AEB" w14:textId="30A061A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5F9190C5" w14:textId="1BAF2B2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single" w:sz="4" w:space="0" w:color="auto"/>
              <w:left w:val="single" w:sz="12" w:space="0" w:color="auto"/>
              <w:bottom w:val="single" w:sz="4" w:space="0" w:color="auto"/>
              <w:right w:val="single" w:sz="12" w:space="0" w:color="auto"/>
            </w:tcBorders>
            <w:noWrap/>
            <w:vAlign w:val="bottom"/>
            <w:hideMark/>
          </w:tcPr>
          <w:p w14:paraId="6E6BC8E1" w14:textId="268B72D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23C2D8AE" w14:textId="77777777" w:rsidTr="4C446D1D">
        <w:trPr>
          <w:trHeight w:val="515"/>
        </w:trPr>
        <w:tc>
          <w:tcPr>
            <w:tcW w:w="1170" w:type="dxa"/>
            <w:tcBorders>
              <w:top w:val="nil"/>
              <w:left w:val="single" w:sz="12" w:space="0" w:color="auto"/>
              <w:bottom w:val="single" w:sz="4" w:space="0" w:color="auto"/>
              <w:right w:val="single" w:sz="4" w:space="0" w:color="auto"/>
            </w:tcBorders>
            <w:noWrap/>
            <w:vAlign w:val="bottom"/>
            <w:hideMark/>
          </w:tcPr>
          <w:p w14:paraId="64FDB081" w14:textId="56D6E175"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(84,110)</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73692D4F"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Grant</w:t>
            </w:r>
          </w:p>
        </w:tc>
        <w:tc>
          <w:tcPr>
            <w:tcW w:w="1147" w:type="dxa"/>
            <w:tcBorders>
              <w:top w:val="nil"/>
              <w:left w:val="nil"/>
              <w:bottom w:val="single" w:sz="4" w:space="0" w:color="auto"/>
              <w:right w:val="single" w:sz="4" w:space="0" w:color="auto"/>
            </w:tcBorders>
            <w:noWrap/>
            <w:vAlign w:val="bottom"/>
            <w:hideMark/>
          </w:tcPr>
          <w:p w14:paraId="24FC37D9" w14:textId="4EC0BA2E"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(61,289)</w:t>
            </w:r>
          </w:p>
        </w:tc>
        <w:tc>
          <w:tcPr>
            <w:tcW w:w="1172" w:type="dxa"/>
            <w:tcBorders>
              <w:top w:val="nil"/>
              <w:left w:val="single" w:sz="12" w:space="0" w:color="auto"/>
              <w:bottom w:val="single" w:sz="4" w:space="0" w:color="auto"/>
              <w:right w:val="single" w:sz="4" w:space="0" w:color="auto"/>
            </w:tcBorders>
            <w:noWrap/>
            <w:vAlign w:val="bottom"/>
            <w:hideMark/>
          </w:tcPr>
          <w:p w14:paraId="7AF734F4" w14:textId="52B35306"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(61,289)</w:t>
            </w:r>
          </w:p>
        </w:tc>
        <w:tc>
          <w:tcPr>
            <w:tcW w:w="1172" w:type="dxa"/>
            <w:tcBorders>
              <w:top w:val="nil"/>
              <w:left w:val="single" w:sz="12" w:space="0" w:color="auto"/>
              <w:bottom w:val="single" w:sz="4" w:space="0" w:color="auto"/>
              <w:right w:val="single" w:sz="4" w:space="0" w:color="auto"/>
            </w:tcBorders>
            <w:noWrap/>
            <w:vAlign w:val="bottom"/>
            <w:hideMark/>
          </w:tcPr>
          <w:p w14:paraId="78B76C86" w14:textId="4484DEA0"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(61,289)</w:t>
            </w:r>
          </w:p>
        </w:tc>
        <w:tc>
          <w:tcPr>
            <w:tcW w:w="1140" w:type="dxa"/>
            <w:tcBorders>
              <w:top w:val="nil"/>
              <w:left w:val="single" w:sz="12" w:space="0" w:color="auto"/>
              <w:bottom w:val="single" w:sz="4" w:space="0" w:color="auto"/>
              <w:right w:val="single" w:sz="12" w:space="0" w:color="auto"/>
            </w:tcBorders>
            <w:noWrap/>
            <w:vAlign w:val="bottom"/>
            <w:hideMark/>
          </w:tcPr>
          <w:p w14:paraId="2FCB427F" w14:textId="385D8AF9"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(61,289)</w:t>
            </w:r>
          </w:p>
        </w:tc>
      </w:tr>
      <w:tr w:rsidR="005A0712" w:rsidRPr="008D21C4" w14:paraId="0B1CB1CD"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04FF5D30" w14:textId="7B2000E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53A6A2F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Recharges</w:t>
            </w:r>
          </w:p>
        </w:tc>
        <w:tc>
          <w:tcPr>
            <w:tcW w:w="1147" w:type="dxa"/>
            <w:tcBorders>
              <w:top w:val="nil"/>
              <w:left w:val="nil"/>
              <w:bottom w:val="single" w:sz="4" w:space="0" w:color="auto"/>
              <w:right w:val="single" w:sz="4" w:space="0" w:color="auto"/>
            </w:tcBorders>
            <w:noWrap/>
            <w:vAlign w:val="bottom"/>
            <w:hideMark/>
          </w:tcPr>
          <w:p w14:paraId="3AC70E90" w14:textId="2790B24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1867791" w14:textId="280CAB0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EA5B392" w14:textId="5F8586A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55E69CDD" w14:textId="37CC228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4F11EA7F"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66DDC9A8" w14:textId="3748E39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658E171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CSR</w:t>
            </w:r>
          </w:p>
        </w:tc>
        <w:tc>
          <w:tcPr>
            <w:tcW w:w="1147" w:type="dxa"/>
            <w:tcBorders>
              <w:top w:val="nil"/>
              <w:left w:val="nil"/>
              <w:bottom w:val="single" w:sz="4" w:space="0" w:color="auto"/>
              <w:right w:val="single" w:sz="4" w:space="0" w:color="auto"/>
            </w:tcBorders>
            <w:noWrap/>
            <w:vAlign w:val="bottom"/>
            <w:hideMark/>
          </w:tcPr>
          <w:p w14:paraId="1719684A" w14:textId="5B71B05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2,982</w:t>
            </w:r>
          </w:p>
        </w:tc>
        <w:tc>
          <w:tcPr>
            <w:tcW w:w="1172" w:type="dxa"/>
            <w:tcBorders>
              <w:top w:val="nil"/>
              <w:left w:val="single" w:sz="12" w:space="0" w:color="auto"/>
              <w:bottom w:val="single" w:sz="4" w:space="0" w:color="auto"/>
              <w:right w:val="single" w:sz="4" w:space="0" w:color="auto"/>
            </w:tcBorders>
            <w:noWrap/>
            <w:vAlign w:val="bottom"/>
            <w:hideMark/>
          </w:tcPr>
          <w:p w14:paraId="44C28D90" w14:textId="6F44292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2,985</w:t>
            </w:r>
          </w:p>
        </w:tc>
        <w:tc>
          <w:tcPr>
            <w:tcW w:w="1172" w:type="dxa"/>
            <w:tcBorders>
              <w:top w:val="nil"/>
              <w:left w:val="single" w:sz="12" w:space="0" w:color="auto"/>
              <w:bottom w:val="single" w:sz="4" w:space="0" w:color="auto"/>
              <w:right w:val="single" w:sz="4" w:space="0" w:color="auto"/>
            </w:tcBorders>
            <w:noWrap/>
            <w:vAlign w:val="bottom"/>
            <w:hideMark/>
          </w:tcPr>
          <w:p w14:paraId="76BDAD5E" w14:textId="7E680E4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2,986</w:t>
            </w:r>
          </w:p>
        </w:tc>
        <w:tc>
          <w:tcPr>
            <w:tcW w:w="1140" w:type="dxa"/>
            <w:tcBorders>
              <w:top w:val="nil"/>
              <w:left w:val="single" w:sz="12" w:space="0" w:color="auto"/>
              <w:bottom w:val="single" w:sz="4" w:space="0" w:color="auto"/>
              <w:right w:val="single" w:sz="12" w:space="0" w:color="auto"/>
            </w:tcBorders>
            <w:noWrap/>
            <w:vAlign w:val="bottom"/>
            <w:hideMark/>
          </w:tcPr>
          <w:p w14:paraId="65B0EA1B" w14:textId="2F833BE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2,988</w:t>
            </w:r>
          </w:p>
        </w:tc>
      </w:tr>
      <w:tr w:rsidR="005A0712" w:rsidRPr="008D21C4" w14:paraId="70D8EA78" w14:textId="77777777" w:rsidTr="4C446D1D">
        <w:trPr>
          <w:trHeight w:val="565"/>
        </w:trPr>
        <w:tc>
          <w:tcPr>
            <w:tcW w:w="1170" w:type="dxa"/>
            <w:tcBorders>
              <w:top w:val="nil"/>
              <w:left w:val="single" w:sz="12" w:space="0" w:color="auto"/>
              <w:bottom w:val="single" w:sz="4" w:space="0" w:color="auto"/>
              <w:right w:val="single" w:sz="4" w:space="0" w:color="auto"/>
            </w:tcBorders>
            <w:noWrap/>
            <w:vAlign w:val="bottom"/>
            <w:hideMark/>
          </w:tcPr>
          <w:p w14:paraId="7D5DD80F" w14:textId="0250A8F9"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(1,727)</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1436B40F"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Summary</w:t>
            </w:r>
          </w:p>
        </w:tc>
        <w:tc>
          <w:tcPr>
            <w:tcW w:w="1147" w:type="dxa"/>
            <w:tcBorders>
              <w:top w:val="nil"/>
              <w:left w:val="nil"/>
              <w:bottom w:val="single" w:sz="4" w:space="0" w:color="auto"/>
              <w:right w:val="single" w:sz="4" w:space="0" w:color="auto"/>
            </w:tcBorders>
            <w:noWrap/>
            <w:vAlign w:val="bottom"/>
            <w:hideMark/>
          </w:tcPr>
          <w:p w14:paraId="11A659A0" w14:textId="589EDA59"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(2,319)</w:t>
            </w:r>
          </w:p>
        </w:tc>
        <w:tc>
          <w:tcPr>
            <w:tcW w:w="1172" w:type="dxa"/>
            <w:tcBorders>
              <w:top w:val="nil"/>
              <w:left w:val="single" w:sz="12" w:space="0" w:color="auto"/>
              <w:bottom w:val="single" w:sz="4" w:space="0" w:color="auto"/>
              <w:right w:val="single" w:sz="4" w:space="0" w:color="auto"/>
            </w:tcBorders>
            <w:noWrap/>
            <w:vAlign w:val="bottom"/>
            <w:hideMark/>
          </w:tcPr>
          <w:p w14:paraId="35C90F1D" w14:textId="612B6DB5"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(2,393)</w:t>
            </w:r>
          </w:p>
        </w:tc>
        <w:tc>
          <w:tcPr>
            <w:tcW w:w="1172" w:type="dxa"/>
            <w:tcBorders>
              <w:top w:val="nil"/>
              <w:left w:val="single" w:sz="12" w:space="0" w:color="auto"/>
              <w:bottom w:val="single" w:sz="4" w:space="0" w:color="auto"/>
              <w:right w:val="single" w:sz="4" w:space="0" w:color="auto"/>
            </w:tcBorders>
            <w:noWrap/>
            <w:vAlign w:val="bottom"/>
            <w:hideMark/>
          </w:tcPr>
          <w:p w14:paraId="7D55AA04" w14:textId="5A1CAFBD"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(2,468)</w:t>
            </w:r>
          </w:p>
        </w:tc>
        <w:tc>
          <w:tcPr>
            <w:tcW w:w="1140" w:type="dxa"/>
            <w:tcBorders>
              <w:top w:val="nil"/>
              <w:left w:val="single" w:sz="12" w:space="0" w:color="auto"/>
              <w:bottom w:val="single" w:sz="4" w:space="0" w:color="auto"/>
              <w:right w:val="single" w:sz="12" w:space="0" w:color="auto"/>
            </w:tcBorders>
            <w:noWrap/>
            <w:vAlign w:val="bottom"/>
            <w:hideMark/>
          </w:tcPr>
          <w:p w14:paraId="5A685D87" w14:textId="198ED096"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(2,545)</w:t>
            </w:r>
          </w:p>
        </w:tc>
      </w:tr>
      <w:tr w:rsidR="005A0712" w:rsidRPr="008D21C4" w14:paraId="7E491FD6"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4CA7E30C" w14:textId="61C0268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5FBE1B1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Bank Interest</w:t>
            </w:r>
          </w:p>
        </w:tc>
        <w:tc>
          <w:tcPr>
            <w:tcW w:w="1147" w:type="dxa"/>
            <w:tcBorders>
              <w:top w:val="nil"/>
              <w:left w:val="nil"/>
              <w:bottom w:val="single" w:sz="4" w:space="0" w:color="auto"/>
              <w:right w:val="single" w:sz="4" w:space="0" w:color="auto"/>
            </w:tcBorders>
            <w:noWrap/>
            <w:vAlign w:val="bottom"/>
            <w:hideMark/>
          </w:tcPr>
          <w:p w14:paraId="1B2282D3" w14:textId="1CA8233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6018BFB" w14:textId="4E87D69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463DFEB" w14:textId="6C22746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16921C01" w14:textId="760F07BA"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1FE0A845" w14:textId="77777777" w:rsidTr="4C446D1D">
        <w:trPr>
          <w:trHeight w:val="260"/>
        </w:trPr>
        <w:tc>
          <w:tcPr>
            <w:tcW w:w="1170" w:type="dxa"/>
            <w:tcBorders>
              <w:top w:val="nil"/>
              <w:left w:val="single" w:sz="12" w:space="0" w:color="auto"/>
              <w:bottom w:val="single" w:sz="4" w:space="0" w:color="auto"/>
              <w:right w:val="single" w:sz="4" w:space="0" w:color="auto"/>
            </w:tcBorders>
            <w:noWrap/>
            <w:vAlign w:val="bottom"/>
            <w:hideMark/>
          </w:tcPr>
          <w:p w14:paraId="56574DE6" w14:textId="3E00739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6E5465D1" w14:textId="3B75CF96" w:rsidR="00CD6EE7" w:rsidRPr="008D21C4" w:rsidRDefault="00866ED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Inter</w:t>
            </w:r>
            <w:r w:rsidR="000B2E25" w:rsidRPr="008D21C4">
              <w:rPr>
                <w:rFonts w:eastAsia="Times New Roman" w:cs="Times New Roman"/>
                <w:b/>
                <w:bCs/>
                <w:color w:val="000000"/>
                <w:kern w:val="0"/>
                <w:sz w:val="20"/>
                <w:szCs w:val="20"/>
                <w:lang w:eastAsia="en-GB"/>
                <w14:ligatures w14:val="none"/>
              </w:rPr>
              <w:t>e</w:t>
            </w:r>
            <w:r w:rsidRPr="008D21C4">
              <w:rPr>
                <w:rFonts w:eastAsia="Times New Roman" w:cs="Times New Roman"/>
                <w:b/>
                <w:bCs/>
                <w:color w:val="000000"/>
                <w:kern w:val="0"/>
                <w:sz w:val="20"/>
                <w:szCs w:val="20"/>
                <w:lang w:eastAsia="en-GB"/>
                <w14:ligatures w14:val="none"/>
              </w:rPr>
              <w:t>st</w:t>
            </w:r>
            <w:r w:rsidR="00CD6EE7" w:rsidRPr="008D21C4">
              <w:rPr>
                <w:rFonts w:eastAsia="Times New Roman" w:cs="Times New Roman"/>
                <w:b/>
                <w:bCs/>
                <w:color w:val="000000"/>
                <w:kern w:val="0"/>
                <w:sz w:val="20"/>
                <w:szCs w:val="20"/>
                <w:lang w:eastAsia="en-GB"/>
                <w14:ligatures w14:val="none"/>
              </w:rPr>
              <w:t xml:space="preserve"> From Investments</w:t>
            </w:r>
          </w:p>
        </w:tc>
        <w:tc>
          <w:tcPr>
            <w:tcW w:w="1147" w:type="dxa"/>
            <w:tcBorders>
              <w:top w:val="nil"/>
              <w:left w:val="nil"/>
              <w:bottom w:val="single" w:sz="4" w:space="0" w:color="auto"/>
              <w:right w:val="single" w:sz="4" w:space="0" w:color="auto"/>
            </w:tcBorders>
            <w:noWrap/>
            <w:vAlign w:val="bottom"/>
            <w:hideMark/>
          </w:tcPr>
          <w:p w14:paraId="36D2E708" w14:textId="54D25F8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3F5EB28" w14:textId="2ECC51B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C4B41CA" w14:textId="18B1062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0E279736" w14:textId="4CB598C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2F65CC25" w14:textId="77777777" w:rsidTr="4C446D1D">
        <w:trPr>
          <w:trHeight w:val="270"/>
        </w:trPr>
        <w:tc>
          <w:tcPr>
            <w:tcW w:w="1170" w:type="dxa"/>
            <w:tcBorders>
              <w:top w:val="nil"/>
              <w:left w:val="single" w:sz="12" w:space="0" w:color="auto"/>
              <w:bottom w:val="single" w:sz="4" w:space="0" w:color="auto"/>
              <w:right w:val="single" w:sz="4" w:space="0" w:color="auto"/>
            </w:tcBorders>
            <w:noWrap/>
            <w:vAlign w:val="bottom"/>
            <w:hideMark/>
          </w:tcPr>
          <w:p w14:paraId="08A414A5" w14:textId="3222F49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19B8AC8D"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Rents</w:t>
            </w:r>
          </w:p>
        </w:tc>
        <w:tc>
          <w:tcPr>
            <w:tcW w:w="1147" w:type="dxa"/>
            <w:tcBorders>
              <w:top w:val="nil"/>
              <w:left w:val="nil"/>
              <w:bottom w:val="single" w:sz="4" w:space="0" w:color="auto"/>
              <w:right w:val="single" w:sz="4" w:space="0" w:color="auto"/>
            </w:tcBorders>
            <w:noWrap/>
            <w:vAlign w:val="bottom"/>
            <w:hideMark/>
          </w:tcPr>
          <w:p w14:paraId="5CC04FF3" w14:textId="1575122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8C7F5FE" w14:textId="2D7824A8"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A34ED84" w14:textId="4647226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2B888512" w14:textId="4A6B284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CA7C06A" w14:textId="77777777" w:rsidTr="4C446D1D">
        <w:trPr>
          <w:trHeight w:val="280"/>
        </w:trPr>
        <w:tc>
          <w:tcPr>
            <w:tcW w:w="117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F5581A7" w14:textId="020CFE86"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(85,838)</w:t>
            </w:r>
          </w:p>
        </w:tc>
        <w:tc>
          <w:tcPr>
            <w:tcW w:w="387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3E5BD82F"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Income</w:t>
            </w:r>
          </w:p>
        </w:tc>
        <w:tc>
          <w:tcPr>
            <w:tcW w:w="1147" w:type="dxa"/>
            <w:tcBorders>
              <w:top w:val="single" w:sz="12" w:space="0" w:color="auto"/>
              <w:left w:val="nil"/>
              <w:bottom w:val="single" w:sz="12" w:space="0" w:color="auto"/>
              <w:right w:val="single" w:sz="4" w:space="0" w:color="auto"/>
            </w:tcBorders>
            <w:shd w:val="clear" w:color="auto" w:fill="E8E8E8"/>
            <w:noWrap/>
            <w:vAlign w:val="bottom"/>
            <w:hideMark/>
          </w:tcPr>
          <w:p w14:paraId="648147EE" w14:textId="0BF5E825"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(60,626)</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EB172E4" w14:textId="73D78292"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(60,698)</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08917138" w14:textId="2DB8FE8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(60,771)</w:t>
            </w:r>
          </w:p>
        </w:tc>
        <w:tc>
          <w:tcPr>
            <w:tcW w:w="114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EB12365" w14:textId="2D09FCBB"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(60,847)</w:t>
            </w:r>
          </w:p>
        </w:tc>
      </w:tr>
      <w:tr w:rsidR="005A0712" w:rsidRPr="008D21C4" w14:paraId="5F6D9426" w14:textId="77777777" w:rsidTr="4C446D1D">
        <w:trPr>
          <w:trHeight w:val="280"/>
        </w:trPr>
        <w:tc>
          <w:tcPr>
            <w:tcW w:w="1170" w:type="dxa"/>
            <w:tcBorders>
              <w:top w:val="nil"/>
              <w:left w:val="single" w:sz="12" w:space="0" w:color="auto"/>
              <w:bottom w:val="single" w:sz="12" w:space="0" w:color="auto"/>
              <w:right w:val="single" w:sz="4" w:space="0" w:color="auto"/>
            </w:tcBorders>
            <w:shd w:val="clear" w:color="auto" w:fill="E8E8E8"/>
            <w:noWrap/>
            <w:vAlign w:val="bottom"/>
            <w:hideMark/>
          </w:tcPr>
          <w:p w14:paraId="4A8DA3D5" w14:textId="7D640F4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11,006</w:t>
            </w:r>
          </w:p>
        </w:tc>
        <w:tc>
          <w:tcPr>
            <w:tcW w:w="3870" w:type="dxa"/>
            <w:tcBorders>
              <w:top w:val="nil"/>
              <w:left w:val="single" w:sz="12" w:space="0" w:color="auto"/>
              <w:bottom w:val="single" w:sz="12" w:space="0" w:color="auto"/>
              <w:right w:val="single" w:sz="12" w:space="0" w:color="auto"/>
            </w:tcBorders>
            <w:shd w:val="clear" w:color="auto" w:fill="E8E8E8"/>
            <w:noWrap/>
            <w:vAlign w:val="bottom"/>
            <w:hideMark/>
          </w:tcPr>
          <w:p w14:paraId="36D31000"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(Income)</w:t>
            </w:r>
          </w:p>
        </w:tc>
        <w:tc>
          <w:tcPr>
            <w:tcW w:w="1147" w:type="dxa"/>
            <w:tcBorders>
              <w:top w:val="nil"/>
              <w:left w:val="nil"/>
              <w:bottom w:val="single" w:sz="12" w:space="0" w:color="auto"/>
              <w:right w:val="single" w:sz="4" w:space="0" w:color="auto"/>
            </w:tcBorders>
            <w:shd w:val="clear" w:color="auto" w:fill="E8E8E8"/>
            <w:noWrap/>
            <w:vAlign w:val="bottom"/>
            <w:hideMark/>
          </w:tcPr>
          <w:p w14:paraId="5A199FDF" w14:textId="7555918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2,497</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24171FFB" w14:textId="6A31BEF1"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2,496</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26329E3A" w14:textId="3AC70D1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2,497</w:t>
            </w:r>
          </w:p>
        </w:tc>
        <w:tc>
          <w:tcPr>
            <w:tcW w:w="1140" w:type="dxa"/>
            <w:tcBorders>
              <w:top w:val="nil"/>
              <w:left w:val="single" w:sz="12" w:space="0" w:color="auto"/>
              <w:bottom w:val="single" w:sz="12" w:space="0" w:color="auto"/>
              <w:right w:val="single" w:sz="4" w:space="0" w:color="auto"/>
            </w:tcBorders>
            <w:shd w:val="clear" w:color="auto" w:fill="E8E8E8"/>
            <w:noWrap/>
            <w:vAlign w:val="bottom"/>
            <w:hideMark/>
          </w:tcPr>
          <w:p w14:paraId="7EECD9D4" w14:textId="36DF60C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2,497</w:t>
            </w:r>
          </w:p>
        </w:tc>
      </w:tr>
      <w:tr w:rsidR="005A0712" w:rsidRPr="008D21C4" w14:paraId="4E0535BD" w14:textId="77777777" w:rsidTr="4C446D1D">
        <w:trPr>
          <w:trHeight w:val="270"/>
        </w:trPr>
        <w:tc>
          <w:tcPr>
            <w:tcW w:w="1170" w:type="dxa"/>
            <w:tcBorders>
              <w:top w:val="single" w:sz="4" w:space="0" w:color="auto"/>
              <w:left w:val="single" w:sz="12" w:space="0" w:color="auto"/>
              <w:bottom w:val="single" w:sz="4" w:space="0" w:color="auto"/>
              <w:right w:val="single" w:sz="4" w:space="0" w:color="auto"/>
            </w:tcBorders>
            <w:noWrap/>
            <w:vAlign w:val="bottom"/>
            <w:hideMark/>
          </w:tcPr>
          <w:p w14:paraId="09D952A5" w14:textId="50275DC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71443970"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from Reserves</w:t>
            </w:r>
          </w:p>
        </w:tc>
        <w:tc>
          <w:tcPr>
            <w:tcW w:w="1147" w:type="dxa"/>
            <w:tcBorders>
              <w:top w:val="single" w:sz="4" w:space="0" w:color="auto"/>
              <w:left w:val="nil"/>
              <w:bottom w:val="single" w:sz="4" w:space="0" w:color="auto"/>
              <w:right w:val="single" w:sz="4" w:space="0" w:color="auto"/>
            </w:tcBorders>
            <w:noWrap/>
            <w:vAlign w:val="bottom"/>
            <w:hideMark/>
          </w:tcPr>
          <w:p w14:paraId="615C720D" w14:textId="3290CFDE"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(2,497)</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32903A02" w14:textId="7883511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(2,497)</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620E3E09" w14:textId="60CB9ABA"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(2,497)</w:t>
            </w:r>
          </w:p>
        </w:tc>
        <w:tc>
          <w:tcPr>
            <w:tcW w:w="1140" w:type="dxa"/>
            <w:tcBorders>
              <w:top w:val="single" w:sz="4" w:space="0" w:color="auto"/>
              <w:left w:val="single" w:sz="12" w:space="0" w:color="auto"/>
              <w:bottom w:val="single" w:sz="4" w:space="0" w:color="auto"/>
              <w:right w:val="single" w:sz="12" w:space="0" w:color="auto"/>
            </w:tcBorders>
            <w:noWrap/>
            <w:vAlign w:val="bottom"/>
            <w:hideMark/>
          </w:tcPr>
          <w:p w14:paraId="576EBAE8" w14:textId="7DFBBFA3"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(2,497)</w:t>
            </w:r>
          </w:p>
        </w:tc>
      </w:tr>
      <w:tr w:rsidR="005A0712" w:rsidRPr="008D21C4" w14:paraId="3ADB2DF7" w14:textId="77777777" w:rsidTr="4C446D1D">
        <w:trPr>
          <w:trHeight w:val="270"/>
        </w:trPr>
        <w:tc>
          <w:tcPr>
            <w:tcW w:w="1170" w:type="dxa"/>
            <w:tcBorders>
              <w:top w:val="nil"/>
              <w:left w:val="single" w:sz="12" w:space="0" w:color="auto"/>
              <w:bottom w:val="single" w:sz="4" w:space="0" w:color="auto"/>
              <w:right w:val="single" w:sz="4" w:space="0" w:color="auto"/>
            </w:tcBorders>
            <w:noWrap/>
            <w:vAlign w:val="bottom"/>
            <w:hideMark/>
          </w:tcPr>
          <w:p w14:paraId="38EB7D3C" w14:textId="5B10B2E1"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3870" w:type="dxa"/>
            <w:tcBorders>
              <w:top w:val="nil"/>
              <w:left w:val="single" w:sz="12" w:space="0" w:color="auto"/>
              <w:bottom w:val="single" w:sz="4" w:space="0" w:color="auto"/>
              <w:right w:val="single" w:sz="12" w:space="0" w:color="auto"/>
            </w:tcBorders>
            <w:shd w:val="clear" w:color="auto" w:fill="E8E8E8"/>
            <w:vAlign w:val="bottom"/>
            <w:hideMark/>
          </w:tcPr>
          <w:p w14:paraId="3D303E04"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To Reserves</w:t>
            </w:r>
          </w:p>
        </w:tc>
        <w:tc>
          <w:tcPr>
            <w:tcW w:w="1147" w:type="dxa"/>
            <w:tcBorders>
              <w:top w:val="nil"/>
              <w:left w:val="nil"/>
              <w:bottom w:val="single" w:sz="4" w:space="0" w:color="auto"/>
              <w:right w:val="single" w:sz="4" w:space="0" w:color="auto"/>
            </w:tcBorders>
            <w:noWrap/>
            <w:vAlign w:val="bottom"/>
            <w:hideMark/>
          </w:tcPr>
          <w:p w14:paraId="7EC7E369" w14:textId="413ECE1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56C29AE" w14:textId="30FA333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187DFD7" w14:textId="116AAC3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40" w:type="dxa"/>
            <w:tcBorders>
              <w:top w:val="nil"/>
              <w:left w:val="single" w:sz="12" w:space="0" w:color="auto"/>
              <w:bottom w:val="single" w:sz="4" w:space="0" w:color="auto"/>
              <w:right w:val="single" w:sz="12" w:space="0" w:color="auto"/>
            </w:tcBorders>
            <w:noWrap/>
            <w:vAlign w:val="bottom"/>
            <w:hideMark/>
          </w:tcPr>
          <w:p w14:paraId="44A2F699" w14:textId="4D8FC0C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440A34E8" w14:textId="77777777" w:rsidTr="4C446D1D">
        <w:trPr>
          <w:trHeight w:val="280"/>
        </w:trPr>
        <w:tc>
          <w:tcPr>
            <w:tcW w:w="117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057F232B" w14:textId="3A02A621"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11,006</w:t>
            </w:r>
          </w:p>
        </w:tc>
        <w:tc>
          <w:tcPr>
            <w:tcW w:w="387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7974D234" w14:textId="07FD6DC4"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after Contribution to/(From) Reserves</w:t>
            </w:r>
          </w:p>
        </w:tc>
        <w:tc>
          <w:tcPr>
            <w:tcW w:w="1147" w:type="dxa"/>
            <w:tcBorders>
              <w:top w:val="single" w:sz="12" w:space="0" w:color="auto"/>
              <w:left w:val="nil"/>
              <w:bottom w:val="single" w:sz="12" w:space="0" w:color="auto"/>
              <w:right w:val="single" w:sz="4" w:space="0" w:color="auto"/>
            </w:tcBorders>
            <w:shd w:val="clear" w:color="auto" w:fill="E8E8E8"/>
            <w:noWrap/>
            <w:vAlign w:val="bottom"/>
            <w:hideMark/>
          </w:tcPr>
          <w:p w14:paraId="11B10DD4" w14:textId="1E22A358"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506C3816" w14:textId="2749D05A"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2B07510" w14:textId="5F187FB2"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1140"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687D52F" w14:textId="5B7D7C12" w:rsidR="00CD6EE7" w:rsidRPr="008D21C4" w:rsidRDefault="00C93192" w:rsidP="00CD6EE7">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r>
    </w:tbl>
    <w:p w14:paraId="1986C705" w14:textId="77777777" w:rsidR="001716C7" w:rsidRDefault="001716C7">
      <w:r>
        <w:br w:type="page"/>
      </w:r>
    </w:p>
    <w:tbl>
      <w:tblPr>
        <w:tblW w:w="9581" w:type="dxa"/>
        <w:tblLook w:val="04A0" w:firstRow="1" w:lastRow="0" w:firstColumn="1" w:lastColumn="0" w:noHBand="0" w:noVBand="1"/>
      </w:tblPr>
      <w:tblGrid>
        <w:gridCol w:w="1155"/>
        <w:gridCol w:w="4006"/>
        <w:gridCol w:w="1026"/>
        <w:gridCol w:w="1172"/>
        <w:gridCol w:w="1172"/>
        <w:gridCol w:w="1050"/>
      </w:tblGrid>
      <w:tr w:rsidR="00CD6EE7" w:rsidRPr="008D21C4" w14:paraId="7A74CA0E" w14:textId="77777777" w:rsidTr="2CA5FF48">
        <w:trPr>
          <w:trHeight w:val="280"/>
        </w:trPr>
        <w:tc>
          <w:tcPr>
            <w:tcW w:w="1155" w:type="dxa"/>
            <w:tcBorders>
              <w:top w:val="nil"/>
              <w:left w:val="nil"/>
              <w:bottom w:val="nil"/>
              <w:right w:val="nil"/>
            </w:tcBorders>
            <w:noWrap/>
            <w:vAlign w:val="bottom"/>
            <w:hideMark/>
          </w:tcPr>
          <w:p w14:paraId="569C7109" w14:textId="3064791B" w:rsidR="00CD6EE7" w:rsidRPr="008D21C4" w:rsidRDefault="00CD6EE7" w:rsidP="00CD6EE7">
            <w:pPr>
              <w:jc w:val="right"/>
              <w:rPr>
                <w:rFonts w:eastAsia="Times New Roman" w:cs="Times New Roman"/>
                <w:b/>
                <w:bCs/>
                <w:color w:val="000000"/>
                <w:kern w:val="0"/>
                <w:sz w:val="20"/>
                <w:szCs w:val="20"/>
                <w:lang w:eastAsia="en-GB"/>
                <w14:ligatures w14:val="none"/>
              </w:rPr>
            </w:pPr>
          </w:p>
        </w:tc>
        <w:tc>
          <w:tcPr>
            <w:tcW w:w="4006" w:type="dxa"/>
            <w:tcBorders>
              <w:top w:val="nil"/>
              <w:left w:val="nil"/>
              <w:bottom w:val="nil"/>
              <w:right w:val="nil"/>
            </w:tcBorders>
            <w:noWrap/>
            <w:vAlign w:val="bottom"/>
            <w:hideMark/>
          </w:tcPr>
          <w:p w14:paraId="4AA94E6B" w14:textId="77777777" w:rsidR="00CD6EE7" w:rsidRPr="008D21C4" w:rsidRDefault="00CD6EE7" w:rsidP="00CD6EE7">
            <w:pPr>
              <w:rPr>
                <w:rFonts w:ascii="Times New Roman" w:eastAsia="Times New Roman" w:hAnsi="Times New Roman" w:cs="Times New Roman"/>
                <w:b/>
                <w:bCs/>
                <w:color w:val="auto"/>
                <w:kern w:val="0"/>
                <w:sz w:val="20"/>
                <w:szCs w:val="20"/>
                <w:lang w:eastAsia="en-GB"/>
                <w14:ligatures w14:val="none"/>
              </w:rPr>
            </w:pPr>
          </w:p>
        </w:tc>
        <w:tc>
          <w:tcPr>
            <w:tcW w:w="1026" w:type="dxa"/>
            <w:tcBorders>
              <w:top w:val="nil"/>
              <w:left w:val="nil"/>
              <w:bottom w:val="nil"/>
              <w:right w:val="nil"/>
            </w:tcBorders>
            <w:noWrap/>
            <w:vAlign w:val="bottom"/>
            <w:hideMark/>
          </w:tcPr>
          <w:p w14:paraId="5C324B24" w14:textId="77777777" w:rsidR="00CD6EE7" w:rsidRPr="008D21C4" w:rsidRDefault="00CD6EE7" w:rsidP="000B2E25">
            <w:pPr>
              <w:jc w:val="right"/>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10798FFA" w14:textId="77777777" w:rsidR="00CD6EE7" w:rsidRPr="008D21C4" w:rsidRDefault="00CD6EE7" w:rsidP="000B2E25">
            <w:pPr>
              <w:jc w:val="right"/>
              <w:rPr>
                <w:rFonts w:ascii="Times New Roman" w:eastAsia="Times New Roman" w:hAnsi="Times New Roman" w:cs="Times New Roman"/>
                <w:b/>
                <w:bCs/>
                <w:color w:val="auto"/>
                <w:kern w:val="0"/>
                <w:sz w:val="20"/>
                <w:szCs w:val="20"/>
                <w:lang w:eastAsia="en-GB"/>
                <w14:ligatures w14:val="none"/>
              </w:rPr>
            </w:pPr>
          </w:p>
        </w:tc>
        <w:tc>
          <w:tcPr>
            <w:tcW w:w="1172" w:type="dxa"/>
            <w:tcBorders>
              <w:top w:val="nil"/>
              <w:left w:val="nil"/>
              <w:bottom w:val="nil"/>
              <w:right w:val="nil"/>
            </w:tcBorders>
            <w:noWrap/>
            <w:vAlign w:val="bottom"/>
            <w:hideMark/>
          </w:tcPr>
          <w:p w14:paraId="229532E1" w14:textId="77777777" w:rsidR="00CD6EE7" w:rsidRPr="008D21C4" w:rsidRDefault="00CD6EE7" w:rsidP="000B2E25">
            <w:pPr>
              <w:jc w:val="right"/>
              <w:rPr>
                <w:rFonts w:ascii="Times New Roman" w:eastAsia="Times New Roman" w:hAnsi="Times New Roman" w:cs="Times New Roman"/>
                <w:b/>
                <w:bCs/>
                <w:color w:val="auto"/>
                <w:kern w:val="0"/>
                <w:sz w:val="20"/>
                <w:szCs w:val="20"/>
                <w:lang w:eastAsia="en-GB"/>
                <w14:ligatures w14:val="none"/>
              </w:rPr>
            </w:pPr>
          </w:p>
        </w:tc>
        <w:tc>
          <w:tcPr>
            <w:tcW w:w="1050" w:type="dxa"/>
            <w:tcBorders>
              <w:top w:val="nil"/>
              <w:left w:val="nil"/>
              <w:bottom w:val="nil"/>
              <w:right w:val="nil"/>
            </w:tcBorders>
            <w:noWrap/>
            <w:vAlign w:val="bottom"/>
            <w:hideMark/>
          </w:tcPr>
          <w:p w14:paraId="50CD9909" w14:textId="77777777" w:rsidR="00CD6EE7" w:rsidRPr="008D21C4" w:rsidRDefault="00CD6EE7" w:rsidP="000B2E25">
            <w:pPr>
              <w:jc w:val="right"/>
              <w:rPr>
                <w:rFonts w:ascii="Times New Roman" w:eastAsia="Times New Roman" w:hAnsi="Times New Roman" w:cs="Times New Roman"/>
                <w:b/>
                <w:bCs/>
                <w:color w:val="auto"/>
                <w:kern w:val="0"/>
                <w:sz w:val="20"/>
                <w:szCs w:val="20"/>
                <w:lang w:eastAsia="en-GB"/>
                <w14:ligatures w14:val="none"/>
              </w:rPr>
            </w:pPr>
          </w:p>
        </w:tc>
      </w:tr>
      <w:tr w:rsidR="005A0712" w:rsidRPr="008D21C4" w14:paraId="1F8082F2" w14:textId="77777777" w:rsidTr="2CA5FF48">
        <w:trPr>
          <w:trHeight w:val="270"/>
        </w:trPr>
        <w:tc>
          <w:tcPr>
            <w:tcW w:w="1155" w:type="dxa"/>
            <w:tcBorders>
              <w:top w:val="single" w:sz="12" w:space="0" w:color="auto"/>
              <w:left w:val="single" w:sz="12" w:space="0" w:color="auto"/>
              <w:bottom w:val="nil"/>
              <w:right w:val="single" w:sz="4" w:space="0" w:color="auto"/>
            </w:tcBorders>
            <w:shd w:val="clear" w:color="auto" w:fill="E8E8E8"/>
            <w:hideMark/>
          </w:tcPr>
          <w:p w14:paraId="6D78687B" w14:textId="4762B783"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025/26</w:t>
            </w:r>
          </w:p>
        </w:tc>
        <w:tc>
          <w:tcPr>
            <w:tcW w:w="4006" w:type="dxa"/>
            <w:tcBorders>
              <w:top w:val="single" w:sz="12" w:space="0" w:color="auto"/>
              <w:left w:val="single" w:sz="12" w:space="0" w:color="auto"/>
              <w:bottom w:val="nil"/>
              <w:right w:val="single" w:sz="12" w:space="0" w:color="auto"/>
            </w:tcBorders>
            <w:shd w:val="clear" w:color="auto" w:fill="E8E8E8"/>
            <w:noWrap/>
            <w:vAlign w:val="bottom"/>
            <w:hideMark/>
          </w:tcPr>
          <w:p w14:paraId="3F4D1804"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Inward Investment and Marketing</w:t>
            </w:r>
          </w:p>
        </w:tc>
        <w:tc>
          <w:tcPr>
            <w:tcW w:w="1026" w:type="dxa"/>
            <w:tcBorders>
              <w:top w:val="single" w:sz="12" w:space="0" w:color="auto"/>
              <w:left w:val="nil"/>
              <w:bottom w:val="nil"/>
              <w:right w:val="single" w:sz="12" w:space="0" w:color="auto"/>
            </w:tcBorders>
            <w:shd w:val="clear" w:color="auto" w:fill="E8E8E8"/>
            <w:hideMark/>
          </w:tcPr>
          <w:p w14:paraId="0B9F297F" w14:textId="3FAEA149"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026/27</w:t>
            </w:r>
          </w:p>
        </w:tc>
        <w:tc>
          <w:tcPr>
            <w:tcW w:w="1172" w:type="dxa"/>
            <w:tcBorders>
              <w:top w:val="single" w:sz="12" w:space="0" w:color="auto"/>
              <w:left w:val="nil"/>
              <w:bottom w:val="nil"/>
              <w:right w:val="single" w:sz="12" w:space="0" w:color="auto"/>
            </w:tcBorders>
            <w:shd w:val="clear" w:color="auto" w:fill="E8E8E8"/>
            <w:hideMark/>
          </w:tcPr>
          <w:p w14:paraId="7407B105" w14:textId="08F90BF9"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027/28</w:t>
            </w:r>
          </w:p>
        </w:tc>
        <w:tc>
          <w:tcPr>
            <w:tcW w:w="1172" w:type="dxa"/>
            <w:tcBorders>
              <w:top w:val="single" w:sz="12" w:space="0" w:color="auto"/>
              <w:left w:val="nil"/>
              <w:bottom w:val="nil"/>
              <w:right w:val="single" w:sz="12" w:space="0" w:color="auto"/>
            </w:tcBorders>
            <w:shd w:val="clear" w:color="auto" w:fill="E8E8E8"/>
            <w:hideMark/>
          </w:tcPr>
          <w:p w14:paraId="661EFC62" w14:textId="081FC95C"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028/29</w:t>
            </w:r>
          </w:p>
        </w:tc>
        <w:tc>
          <w:tcPr>
            <w:tcW w:w="1050" w:type="dxa"/>
            <w:tcBorders>
              <w:top w:val="single" w:sz="12" w:space="0" w:color="auto"/>
              <w:left w:val="nil"/>
              <w:bottom w:val="nil"/>
              <w:right w:val="single" w:sz="12" w:space="0" w:color="auto"/>
            </w:tcBorders>
            <w:shd w:val="clear" w:color="auto" w:fill="E8E8E8"/>
            <w:hideMark/>
          </w:tcPr>
          <w:p w14:paraId="4DC52746" w14:textId="3C968909" w:rsidR="00CD6EE7" w:rsidRPr="008D21C4" w:rsidRDefault="005A0712" w:rsidP="00CD6EE7">
            <w:pPr>
              <w:jc w:val="center"/>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Budget 2</w:t>
            </w:r>
            <w:r w:rsidR="00CD6EE7" w:rsidRPr="008D21C4">
              <w:rPr>
                <w:rFonts w:eastAsia="Times New Roman" w:cs="Times New Roman"/>
                <w:b/>
                <w:bCs/>
                <w:color w:val="000000"/>
                <w:kern w:val="0"/>
                <w:sz w:val="20"/>
                <w:szCs w:val="20"/>
                <w:lang w:eastAsia="en-GB"/>
                <w14:ligatures w14:val="none"/>
              </w:rPr>
              <w:t>029/30</w:t>
            </w:r>
          </w:p>
        </w:tc>
      </w:tr>
      <w:tr w:rsidR="005A0712" w:rsidRPr="008D21C4" w14:paraId="6ABB3C60" w14:textId="77777777" w:rsidTr="2CA5FF48">
        <w:trPr>
          <w:trHeight w:val="270"/>
        </w:trPr>
        <w:tc>
          <w:tcPr>
            <w:tcW w:w="1155" w:type="dxa"/>
            <w:tcBorders>
              <w:top w:val="nil"/>
              <w:left w:val="single" w:sz="12" w:space="0" w:color="auto"/>
              <w:bottom w:val="single" w:sz="12" w:space="0" w:color="auto"/>
              <w:right w:val="single" w:sz="4" w:space="0" w:color="auto"/>
            </w:tcBorders>
            <w:shd w:val="clear" w:color="auto" w:fill="E8E8E8"/>
            <w:noWrap/>
            <w:vAlign w:val="bottom"/>
            <w:hideMark/>
          </w:tcPr>
          <w:p w14:paraId="202C4194"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4006" w:type="dxa"/>
            <w:tcBorders>
              <w:top w:val="nil"/>
              <w:left w:val="single" w:sz="12" w:space="0" w:color="auto"/>
              <w:bottom w:val="single" w:sz="12" w:space="0" w:color="auto"/>
              <w:right w:val="single" w:sz="12" w:space="0" w:color="auto"/>
            </w:tcBorders>
            <w:shd w:val="clear" w:color="auto" w:fill="E8E8E8"/>
            <w:noWrap/>
            <w:vAlign w:val="bottom"/>
            <w:hideMark/>
          </w:tcPr>
          <w:p w14:paraId="5CDC7F10"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 xml:space="preserve">Type of Expenditure / Income </w:t>
            </w:r>
          </w:p>
        </w:tc>
        <w:tc>
          <w:tcPr>
            <w:tcW w:w="1026" w:type="dxa"/>
            <w:tcBorders>
              <w:top w:val="nil"/>
              <w:left w:val="nil"/>
              <w:bottom w:val="single" w:sz="12" w:space="0" w:color="auto"/>
              <w:right w:val="single" w:sz="12" w:space="0" w:color="auto"/>
            </w:tcBorders>
            <w:shd w:val="clear" w:color="auto" w:fill="E8E8E8"/>
            <w:noWrap/>
            <w:vAlign w:val="bottom"/>
            <w:hideMark/>
          </w:tcPr>
          <w:p w14:paraId="120380C7"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2B6FFE5A"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172" w:type="dxa"/>
            <w:tcBorders>
              <w:top w:val="nil"/>
              <w:left w:val="nil"/>
              <w:bottom w:val="single" w:sz="12" w:space="0" w:color="auto"/>
              <w:right w:val="single" w:sz="12" w:space="0" w:color="auto"/>
            </w:tcBorders>
            <w:shd w:val="clear" w:color="auto" w:fill="E8E8E8"/>
            <w:noWrap/>
            <w:vAlign w:val="bottom"/>
            <w:hideMark/>
          </w:tcPr>
          <w:p w14:paraId="027D950C"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c>
          <w:tcPr>
            <w:tcW w:w="1050" w:type="dxa"/>
            <w:tcBorders>
              <w:top w:val="nil"/>
              <w:left w:val="nil"/>
              <w:bottom w:val="single" w:sz="12" w:space="0" w:color="auto"/>
              <w:right w:val="single" w:sz="12" w:space="0" w:color="auto"/>
            </w:tcBorders>
            <w:shd w:val="clear" w:color="auto" w:fill="E8E8E8"/>
            <w:noWrap/>
            <w:vAlign w:val="bottom"/>
            <w:hideMark/>
          </w:tcPr>
          <w:p w14:paraId="26CB9260" w14:textId="77777777" w:rsidR="00CD6EE7" w:rsidRPr="008D21C4" w:rsidRDefault="00CD6EE7" w:rsidP="00CD6EE7">
            <w:pPr>
              <w:jc w:val="cente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£'000</w:t>
            </w:r>
          </w:p>
        </w:tc>
      </w:tr>
      <w:tr w:rsidR="005A0712" w:rsidRPr="008D21C4" w14:paraId="340EAB73" w14:textId="77777777" w:rsidTr="2CA5FF48">
        <w:trPr>
          <w:trHeight w:val="270"/>
        </w:trPr>
        <w:tc>
          <w:tcPr>
            <w:tcW w:w="1155" w:type="dxa"/>
            <w:tcBorders>
              <w:top w:val="single" w:sz="4" w:space="0" w:color="auto"/>
              <w:left w:val="single" w:sz="12" w:space="0" w:color="auto"/>
              <w:bottom w:val="single" w:sz="4" w:space="0" w:color="auto"/>
              <w:right w:val="single" w:sz="4" w:space="0" w:color="auto"/>
            </w:tcBorders>
            <w:noWrap/>
            <w:vAlign w:val="bottom"/>
            <w:hideMark/>
          </w:tcPr>
          <w:p w14:paraId="2C081501" w14:textId="5024827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848</w:t>
            </w:r>
          </w:p>
        </w:tc>
        <w:tc>
          <w:tcPr>
            <w:tcW w:w="400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4D1A90F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Employees</w:t>
            </w:r>
          </w:p>
        </w:tc>
        <w:tc>
          <w:tcPr>
            <w:tcW w:w="1026" w:type="dxa"/>
            <w:tcBorders>
              <w:top w:val="single" w:sz="4" w:space="0" w:color="auto"/>
              <w:left w:val="nil"/>
              <w:bottom w:val="single" w:sz="4" w:space="0" w:color="auto"/>
              <w:right w:val="single" w:sz="4" w:space="0" w:color="auto"/>
            </w:tcBorders>
            <w:noWrap/>
            <w:vAlign w:val="bottom"/>
            <w:hideMark/>
          </w:tcPr>
          <w:p w14:paraId="0F3755A1" w14:textId="450EE6D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740</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58DCC06D" w14:textId="22E9C74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756</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27CF059E" w14:textId="605BAD0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773</w:t>
            </w:r>
          </w:p>
        </w:tc>
        <w:tc>
          <w:tcPr>
            <w:tcW w:w="1050" w:type="dxa"/>
            <w:tcBorders>
              <w:top w:val="single" w:sz="4" w:space="0" w:color="auto"/>
              <w:left w:val="single" w:sz="12" w:space="0" w:color="auto"/>
              <w:bottom w:val="single" w:sz="4" w:space="0" w:color="auto"/>
              <w:right w:val="single" w:sz="12" w:space="0" w:color="auto"/>
            </w:tcBorders>
            <w:noWrap/>
            <w:vAlign w:val="bottom"/>
            <w:hideMark/>
          </w:tcPr>
          <w:p w14:paraId="4C174714" w14:textId="38D7EA3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790</w:t>
            </w:r>
          </w:p>
        </w:tc>
      </w:tr>
      <w:tr w:rsidR="005A0712" w:rsidRPr="008D21C4" w14:paraId="40482B29"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31D424CF" w14:textId="5A27BC2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3294DE5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Premises</w:t>
            </w:r>
          </w:p>
        </w:tc>
        <w:tc>
          <w:tcPr>
            <w:tcW w:w="1026" w:type="dxa"/>
            <w:tcBorders>
              <w:top w:val="nil"/>
              <w:left w:val="nil"/>
              <w:bottom w:val="single" w:sz="4" w:space="0" w:color="auto"/>
              <w:right w:val="single" w:sz="4" w:space="0" w:color="auto"/>
            </w:tcBorders>
            <w:noWrap/>
            <w:vAlign w:val="bottom"/>
            <w:hideMark/>
          </w:tcPr>
          <w:p w14:paraId="14233C00" w14:textId="5728B15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6C197E7" w14:textId="23DD5C1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BED52D4" w14:textId="530D23D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0A8F8E06" w14:textId="31D4317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AE466E1"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2BAC9977" w14:textId="76DC65FB" w:rsidR="00CD6EE7" w:rsidRPr="008D21C4" w:rsidRDefault="00C93192" w:rsidP="000B2E25">
            <w:pPr>
              <w:jc w:val="right"/>
              <w:rPr>
                <w:rFonts w:eastAsia="Times New Roman" w:cs="Times New Roman"/>
                <w:b/>
                <w:bCs/>
                <w:color w:val="000000"/>
                <w:kern w:val="0"/>
                <w:sz w:val="20"/>
                <w:szCs w:val="20"/>
                <w:lang w:eastAsia="en-GB"/>
                <w14:ligatures w14:val="none"/>
              </w:rPr>
            </w:pPr>
            <w:r>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17882E58"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Transport</w:t>
            </w:r>
          </w:p>
        </w:tc>
        <w:tc>
          <w:tcPr>
            <w:tcW w:w="1026" w:type="dxa"/>
            <w:tcBorders>
              <w:top w:val="nil"/>
              <w:left w:val="nil"/>
              <w:bottom w:val="single" w:sz="4" w:space="0" w:color="auto"/>
              <w:right w:val="single" w:sz="4" w:space="0" w:color="auto"/>
            </w:tcBorders>
            <w:noWrap/>
            <w:vAlign w:val="bottom"/>
            <w:hideMark/>
          </w:tcPr>
          <w:p w14:paraId="5E669DB7" w14:textId="38301D3A"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172" w:type="dxa"/>
            <w:tcBorders>
              <w:top w:val="nil"/>
              <w:left w:val="single" w:sz="12" w:space="0" w:color="auto"/>
              <w:bottom w:val="single" w:sz="4" w:space="0" w:color="auto"/>
              <w:right w:val="single" w:sz="4" w:space="0" w:color="auto"/>
            </w:tcBorders>
            <w:noWrap/>
            <w:vAlign w:val="bottom"/>
            <w:hideMark/>
          </w:tcPr>
          <w:p w14:paraId="21BD54B7" w14:textId="3CBD666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172" w:type="dxa"/>
            <w:tcBorders>
              <w:top w:val="nil"/>
              <w:left w:val="single" w:sz="12" w:space="0" w:color="auto"/>
              <w:bottom w:val="single" w:sz="4" w:space="0" w:color="auto"/>
              <w:right w:val="single" w:sz="4" w:space="0" w:color="auto"/>
            </w:tcBorders>
            <w:noWrap/>
            <w:vAlign w:val="bottom"/>
            <w:hideMark/>
          </w:tcPr>
          <w:p w14:paraId="7767C525" w14:textId="10446FE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c>
          <w:tcPr>
            <w:tcW w:w="1050" w:type="dxa"/>
            <w:tcBorders>
              <w:top w:val="nil"/>
              <w:left w:val="single" w:sz="12" w:space="0" w:color="auto"/>
              <w:bottom w:val="single" w:sz="4" w:space="0" w:color="auto"/>
              <w:right w:val="single" w:sz="12" w:space="0" w:color="auto"/>
            </w:tcBorders>
            <w:noWrap/>
            <w:vAlign w:val="bottom"/>
            <w:hideMark/>
          </w:tcPr>
          <w:p w14:paraId="63032662" w14:textId="08ED6F5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w:t>
            </w:r>
          </w:p>
        </w:tc>
      </w:tr>
      <w:tr w:rsidR="005A0712" w:rsidRPr="008D21C4" w14:paraId="50F4E9EE"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774B8114" w14:textId="2DE8CBC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631</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26A3D71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Supplies and Services</w:t>
            </w:r>
          </w:p>
        </w:tc>
        <w:tc>
          <w:tcPr>
            <w:tcW w:w="1026" w:type="dxa"/>
            <w:tcBorders>
              <w:top w:val="nil"/>
              <w:left w:val="nil"/>
              <w:bottom w:val="single" w:sz="4" w:space="0" w:color="auto"/>
              <w:right w:val="single" w:sz="4" w:space="0" w:color="auto"/>
            </w:tcBorders>
            <w:noWrap/>
            <w:vAlign w:val="bottom"/>
            <w:hideMark/>
          </w:tcPr>
          <w:p w14:paraId="767EC2A6" w14:textId="28DE9B2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635</w:t>
            </w:r>
          </w:p>
        </w:tc>
        <w:tc>
          <w:tcPr>
            <w:tcW w:w="1172" w:type="dxa"/>
            <w:tcBorders>
              <w:top w:val="nil"/>
              <w:left w:val="single" w:sz="12" w:space="0" w:color="auto"/>
              <w:bottom w:val="single" w:sz="4" w:space="0" w:color="auto"/>
              <w:right w:val="single" w:sz="4" w:space="0" w:color="auto"/>
            </w:tcBorders>
            <w:noWrap/>
            <w:vAlign w:val="bottom"/>
            <w:hideMark/>
          </w:tcPr>
          <w:p w14:paraId="77FE56D5" w14:textId="3F9C368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637</w:t>
            </w:r>
          </w:p>
        </w:tc>
        <w:tc>
          <w:tcPr>
            <w:tcW w:w="1172" w:type="dxa"/>
            <w:tcBorders>
              <w:top w:val="nil"/>
              <w:left w:val="single" w:sz="12" w:space="0" w:color="auto"/>
              <w:bottom w:val="single" w:sz="4" w:space="0" w:color="auto"/>
              <w:right w:val="single" w:sz="4" w:space="0" w:color="auto"/>
            </w:tcBorders>
            <w:noWrap/>
            <w:vAlign w:val="bottom"/>
            <w:hideMark/>
          </w:tcPr>
          <w:p w14:paraId="73562562" w14:textId="386638C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639</w:t>
            </w:r>
          </w:p>
        </w:tc>
        <w:tc>
          <w:tcPr>
            <w:tcW w:w="1050" w:type="dxa"/>
            <w:tcBorders>
              <w:top w:val="nil"/>
              <w:left w:val="single" w:sz="12" w:space="0" w:color="auto"/>
              <w:bottom w:val="single" w:sz="4" w:space="0" w:color="auto"/>
              <w:right w:val="single" w:sz="12" w:space="0" w:color="auto"/>
            </w:tcBorders>
            <w:noWrap/>
            <w:vAlign w:val="bottom"/>
            <w:hideMark/>
          </w:tcPr>
          <w:p w14:paraId="4AE5121E" w14:textId="162A3FB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640</w:t>
            </w:r>
          </w:p>
        </w:tc>
      </w:tr>
      <w:tr w:rsidR="005A0712" w:rsidRPr="008D21C4" w14:paraId="595FF287"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5EBF31EA" w14:textId="269410EA"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67EAD1C5"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Third Party Payments</w:t>
            </w:r>
          </w:p>
        </w:tc>
        <w:tc>
          <w:tcPr>
            <w:tcW w:w="1026" w:type="dxa"/>
            <w:tcBorders>
              <w:top w:val="nil"/>
              <w:left w:val="nil"/>
              <w:bottom w:val="single" w:sz="4" w:space="0" w:color="auto"/>
              <w:right w:val="single" w:sz="4" w:space="0" w:color="auto"/>
            </w:tcBorders>
            <w:noWrap/>
            <w:vAlign w:val="bottom"/>
            <w:hideMark/>
          </w:tcPr>
          <w:p w14:paraId="367E64C2" w14:textId="60323AD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9EC396D" w14:textId="700981C4"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663C0FE" w14:textId="6349305A"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1BEFCB88" w14:textId="19845064"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41CD4C96"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50E801E1" w14:textId="15B01BF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6F9CF099" w14:textId="0189573C" w:rsidR="00CD6EE7" w:rsidRPr="008D21C4" w:rsidRDefault="00635E64" w:rsidP="00CD6EE7">
            <w:pPr>
              <w:rPr>
                <w:rFonts w:eastAsia="Times New Roman" w:cs="Times New Roman"/>
                <w:b/>
                <w:bCs/>
                <w:color w:val="000000"/>
                <w:kern w:val="0"/>
                <w:sz w:val="20"/>
                <w:szCs w:val="20"/>
                <w:lang w:eastAsia="en-GB"/>
                <w14:ligatures w14:val="none"/>
              </w:rPr>
            </w:pPr>
            <w:r w:rsidRPr="008D21C4">
              <w:rPr>
                <w:rFonts w:eastAsia="Times New Roman" w:cs="Times New Roman"/>
                <w:b/>
                <w:color w:val="000000"/>
                <w:kern w:val="0"/>
                <w:sz w:val="20"/>
                <w:szCs w:val="20"/>
                <w:lang w:eastAsia="en-GB"/>
                <w14:ligatures w14:val="none"/>
              </w:rPr>
              <w:t>Corporat</w:t>
            </w:r>
            <w:r>
              <w:rPr>
                <w:rFonts w:eastAsia="Times New Roman" w:cs="Times New Roman"/>
                <w:b/>
                <w:color w:val="000000"/>
                <w:kern w:val="0"/>
                <w:sz w:val="20"/>
                <w:szCs w:val="20"/>
                <w:lang w:eastAsia="en-GB"/>
                <w14:ligatures w14:val="none"/>
              </w:rPr>
              <w:t>e Support Recharges</w:t>
            </w:r>
          </w:p>
        </w:tc>
        <w:tc>
          <w:tcPr>
            <w:tcW w:w="1026" w:type="dxa"/>
            <w:tcBorders>
              <w:top w:val="nil"/>
              <w:left w:val="nil"/>
              <w:bottom w:val="single" w:sz="4" w:space="0" w:color="auto"/>
              <w:right w:val="single" w:sz="4" w:space="0" w:color="auto"/>
            </w:tcBorders>
            <w:noWrap/>
            <w:vAlign w:val="bottom"/>
            <w:hideMark/>
          </w:tcPr>
          <w:p w14:paraId="72C711F1" w14:textId="575FB9F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A084E33" w14:textId="17BBBBF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BACD9EA" w14:textId="170D7BC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0130A241" w14:textId="73B821C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40F7D0D" w14:textId="77777777" w:rsidTr="2CA5FF48">
        <w:trPr>
          <w:trHeight w:val="270"/>
        </w:trPr>
        <w:tc>
          <w:tcPr>
            <w:tcW w:w="1155" w:type="dxa"/>
            <w:tcBorders>
              <w:top w:val="nil"/>
              <w:left w:val="single" w:sz="12" w:space="0" w:color="auto"/>
              <w:bottom w:val="single" w:sz="4" w:space="0" w:color="auto"/>
              <w:right w:val="single" w:sz="4" w:space="0" w:color="auto"/>
            </w:tcBorders>
            <w:noWrap/>
            <w:vAlign w:val="bottom"/>
            <w:hideMark/>
          </w:tcPr>
          <w:p w14:paraId="7C000070" w14:textId="659EC8C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271DCE36" w14:textId="7ADE60DF" w:rsidR="00CD6EE7" w:rsidRPr="008D21C4" w:rsidRDefault="00E0706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Central Costs</w:t>
            </w:r>
          </w:p>
        </w:tc>
        <w:tc>
          <w:tcPr>
            <w:tcW w:w="1026" w:type="dxa"/>
            <w:tcBorders>
              <w:top w:val="nil"/>
              <w:left w:val="nil"/>
              <w:bottom w:val="single" w:sz="4" w:space="0" w:color="auto"/>
              <w:right w:val="single" w:sz="4" w:space="0" w:color="auto"/>
            </w:tcBorders>
            <w:noWrap/>
            <w:vAlign w:val="bottom"/>
            <w:hideMark/>
          </w:tcPr>
          <w:p w14:paraId="3D7CBB78" w14:textId="385F049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530B9DD" w14:textId="64B3DAA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9575A3B" w14:textId="4CF2570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572D6884" w14:textId="2F95B66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A74AC55" w14:textId="77777777" w:rsidTr="2CA5FF48">
        <w:trPr>
          <w:trHeight w:val="280"/>
        </w:trPr>
        <w:tc>
          <w:tcPr>
            <w:tcW w:w="115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13D212E" w14:textId="001B525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1,479</w:t>
            </w:r>
          </w:p>
        </w:tc>
        <w:tc>
          <w:tcPr>
            <w:tcW w:w="400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012ECA2A"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Expenditure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7B0E68AC" w14:textId="6F4A6467"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1,375</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2D29042" w14:textId="5276EA7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1,393</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2F5306F" w14:textId="3C63011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1,412</w:t>
            </w:r>
          </w:p>
        </w:tc>
        <w:tc>
          <w:tcPr>
            <w:tcW w:w="105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634FE0EC" w14:textId="6E53F71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1,431</w:t>
            </w:r>
          </w:p>
        </w:tc>
      </w:tr>
      <w:tr w:rsidR="005A0712" w:rsidRPr="008D21C4" w14:paraId="3CBD152A" w14:textId="77777777" w:rsidTr="2CA5FF48">
        <w:trPr>
          <w:trHeight w:val="270"/>
        </w:trPr>
        <w:tc>
          <w:tcPr>
            <w:tcW w:w="1155" w:type="dxa"/>
            <w:tcBorders>
              <w:top w:val="single" w:sz="4" w:space="0" w:color="auto"/>
              <w:left w:val="single" w:sz="12" w:space="0" w:color="auto"/>
              <w:bottom w:val="single" w:sz="4" w:space="0" w:color="auto"/>
              <w:right w:val="single" w:sz="4" w:space="0" w:color="auto"/>
            </w:tcBorders>
            <w:noWrap/>
            <w:vAlign w:val="bottom"/>
            <w:hideMark/>
          </w:tcPr>
          <w:p w14:paraId="3903F040" w14:textId="73AF19B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6724AA0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Charges</w:t>
            </w:r>
          </w:p>
        </w:tc>
        <w:tc>
          <w:tcPr>
            <w:tcW w:w="1026" w:type="dxa"/>
            <w:tcBorders>
              <w:top w:val="single" w:sz="4" w:space="0" w:color="auto"/>
              <w:left w:val="nil"/>
              <w:bottom w:val="single" w:sz="4" w:space="0" w:color="auto"/>
              <w:right w:val="single" w:sz="4" w:space="0" w:color="auto"/>
            </w:tcBorders>
            <w:noWrap/>
            <w:vAlign w:val="bottom"/>
            <w:hideMark/>
          </w:tcPr>
          <w:p w14:paraId="049AD1A4" w14:textId="497A429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42693BEC" w14:textId="0EE0095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5A2CA12D" w14:textId="377E524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single" w:sz="4" w:space="0" w:color="auto"/>
              <w:left w:val="single" w:sz="12" w:space="0" w:color="auto"/>
              <w:bottom w:val="single" w:sz="4" w:space="0" w:color="auto"/>
              <w:right w:val="single" w:sz="12" w:space="0" w:color="auto"/>
            </w:tcBorders>
            <w:noWrap/>
            <w:vAlign w:val="bottom"/>
            <w:hideMark/>
          </w:tcPr>
          <w:p w14:paraId="7D303062" w14:textId="7F90E3F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6FA73060"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3CE1C5F3" w14:textId="68C6296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3C73BF03"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Grant</w:t>
            </w:r>
          </w:p>
        </w:tc>
        <w:tc>
          <w:tcPr>
            <w:tcW w:w="1026" w:type="dxa"/>
            <w:tcBorders>
              <w:top w:val="nil"/>
              <w:left w:val="nil"/>
              <w:bottom w:val="single" w:sz="4" w:space="0" w:color="auto"/>
              <w:right w:val="single" w:sz="4" w:space="0" w:color="auto"/>
            </w:tcBorders>
            <w:noWrap/>
            <w:vAlign w:val="bottom"/>
            <w:hideMark/>
          </w:tcPr>
          <w:p w14:paraId="3F73B7B9" w14:textId="551BF0D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555C01AF" w14:textId="1A98FB61"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5B9695F" w14:textId="01E5F79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750C3055" w14:textId="1A60658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352A3E61"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7BF7CAAF" w14:textId="60DFF89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6C27867F"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Recharges</w:t>
            </w:r>
          </w:p>
        </w:tc>
        <w:tc>
          <w:tcPr>
            <w:tcW w:w="1026" w:type="dxa"/>
            <w:tcBorders>
              <w:top w:val="nil"/>
              <w:left w:val="nil"/>
              <w:bottom w:val="single" w:sz="4" w:space="0" w:color="auto"/>
              <w:right w:val="single" w:sz="4" w:space="0" w:color="auto"/>
            </w:tcBorders>
            <w:noWrap/>
            <w:vAlign w:val="bottom"/>
            <w:hideMark/>
          </w:tcPr>
          <w:p w14:paraId="435F97C5" w14:textId="2E73B11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454E2E1E" w14:textId="719D1AA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34C0EA9" w14:textId="59C0104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77DB5A75" w14:textId="753D3F8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407D25A"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30A7DD17" w14:textId="58ED4CEA"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32D98AA1"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CSR</w:t>
            </w:r>
          </w:p>
        </w:tc>
        <w:tc>
          <w:tcPr>
            <w:tcW w:w="1026" w:type="dxa"/>
            <w:tcBorders>
              <w:top w:val="nil"/>
              <w:left w:val="nil"/>
              <w:bottom w:val="single" w:sz="4" w:space="0" w:color="auto"/>
              <w:right w:val="single" w:sz="4" w:space="0" w:color="auto"/>
            </w:tcBorders>
            <w:noWrap/>
            <w:vAlign w:val="bottom"/>
            <w:hideMark/>
          </w:tcPr>
          <w:p w14:paraId="5EA82312" w14:textId="49BC34D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(722)</w:t>
            </w:r>
          </w:p>
        </w:tc>
        <w:tc>
          <w:tcPr>
            <w:tcW w:w="1172" w:type="dxa"/>
            <w:tcBorders>
              <w:top w:val="nil"/>
              <w:left w:val="single" w:sz="12" w:space="0" w:color="auto"/>
              <w:bottom w:val="single" w:sz="4" w:space="0" w:color="auto"/>
              <w:right w:val="single" w:sz="4" w:space="0" w:color="auto"/>
            </w:tcBorders>
            <w:noWrap/>
            <w:vAlign w:val="bottom"/>
            <w:hideMark/>
          </w:tcPr>
          <w:p w14:paraId="7356488C" w14:textId="544387CD"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(744)</w:t>
            </w:r>
          </w:p>
        </w:tc>
        <w:tc>
          <w:tcPr>
            <w:tcW w:w="1172" w:type="dxa"/>
            <w:tcBorders>
              <w:top w:val="nil"/>
              <w:left w:val="single" w:sz="12" w:space="0" w:color="auto"/>
              <w:bottom w:val="single" w:sz="4" w:space="0" w:color="auto"/>
              <w:right w:val="single" w:sz="4" w:space="0" w:color="auto"/>
            </w:tcBorders>
            <w:noWrap/>
            <w:vAlign w:val="bottom"/>
            <w:hideMark/>
          </w:tcPr>
          <w:p w14:paraId="502A08FC" w14:textId="3DBD94B2"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(758)</w:t>
            </w:r>
          </w:p>
        </w:tc>
        <w:tc>
          <w:tcPr>
            <w:tcW w:w="1050" w:type="dxa"/>
            <w:tcBorders>
              <w:top w:val="nil"/>
              <w:left w:val="single" w:sz="12" w:space="0" w:color="auto"/>
              <w:bottom w:val="single" w:sz="4" w:space="0" w:color="auto"/>
              <w:right w:val="single" w:sz="12" w:space="0" w:color="auto"/>
            </w:tcBorders>
            <w:noWrap/>
            <w:vAlign w:val="bottom"/>
            <w:hideMark/>
          </w:tcPr>
          <w:p w14:paraId="77A79B90" w14:textId="2CFE469C"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(774)</w:t>
            </w:r>
          </w:p>
        </w:tc>
      </w:tr>
      <w:tr w:rsidR="005A0712" w:rsidRPr="008D21C4" w14:paraId="5742CEB4"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6B1DCE63" w14:textId="412B816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7183AA5E"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Contributions Summary</w:t>
            </w:r>
          </w:p>
        </w:tc>
        <w:tc>
          <w:tcPr>
            <w:tcW w:w="1026" w:type="dxa"/>
            <w:tcBorders>
              <w:top w:val="nil"/>
              <w:left w:val="nil"/>
              <w:bottom w:val="single" w:sz="4" w:space="0" w:color="auto"/>
              <w:right w:val="single" w:sz="4" w:space="0" w:color="auto"/>
            </w:tcBorders>
            <w:noWrap/>
            <w:vAlign w:val="bottom"/>
            <w:hideMark/>
          </w:tcPr>
          <w:p w14:paraId="632BC278" w14:textId="2ACEF73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0D06C35" w14:textId="58CF995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6D3F555" w14:textId="2E4AA0E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3C77B40B" w14:textId="05CEDCE8"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1D5955D1"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3900BEE2" w14:textId="7B8B3B1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6CA7C8BA"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Bank Interest</w:t>
            </w:r>
          </w:p>
        </w:tc>
        <w:tc>
          <w:tcPr>
            <w:tcW w:w="1026" w:type="dxa"/>
            <w:tcBorders>
              <w:top w:val="nil"/>
              <w:left w:val="nil"/>
              <w:bottom w:val="single" w:sz="4" w:space="0" w:color="auto"/>
              <w:right w:val="single" w:sz="4" w:space="0" w:color="auto"/>
            </w:tcBorders>
            <w:noWrap/>
            <w:vAlign w:val="bottom"/>
            <w:hideMark/>
          </w:tcPr>
          <w:p w14:paraId="7BCC8599" w14:textId="4A584CD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702E2C80" w14:textId="42038824"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66E1653" w14:textId="6BF8ACA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385B3051" w14:textId="76449BE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C666D26" w14:textId="77777777" w:rsidTr="2CA5FF48">
        <w:trPr>
          <w:trHeight w:val="260"/>
        </w:trPr>
        <w:tc>
          <w:tcPr>
            <w:tcW w:w="1155" w:type="dxa"/>
            <w:tcBorders>
              <w:top w:val="nil"/>
              <w:left w:val="single" w:sz="12" w:space="0" w:color="auto"/>
              <w:bottom w:val="single" w:sz="4" w:space="0" w:color="auto"/>
              <w:right w:val="single" w:sz="4" w:space="0" w:color="auto"/>
            </w:tcBorders>
            <w:noWrap/>
            <w:vAlign w:val="bottom"/>
            <w:hideMark/>
          </w:tcPr>
          <w:p w14:paraId="073DE3DC" w14:textId="159429A1"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6C5B137C" w14:textId="31A9860F" w:rsidR="00CD6EE7" w:rsidRPr="008D21C4" w:rsidRDefault="00866ED6"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Inter</w:t>
            </w:r>
            <w:r w:rsidR="000B2E25" w:rsidRPr="008D21C4">
              <w:rPr>
                <w:rFonts w:eastAsia="Times New Roman" w:cs="Times New Roman"/>
                <w:b/>
                <w:bCs/>
                <w:color w:val="000000"/>
                <w:kern w:val="0"/>
                <w:sz w:val="20"/>
                <w:szCs w:val="20"/>
                <w:lang w:eastAsia="en-GB"/>
                <w14:ligatures w14:val="none"/>
              </w:rPr>
              <w:t>e</w:t>
            </w:r>
            <w:r w:rsidRPr="008D21C4">
              <w:rPr>
                <w:rFonts w:eastAsia="Times New Roman" w:cs="Times New Roman"/>
                <w:b/>
                <w:bCs/>
                <w:color w:val="000000"/>
                <w:kern w:val="0"/>
                <w:sz w:val="20"/>
                <w:szCs w:val="20"/>
                <w:lang w:eastAsia="en-GB"/>
                <w14:ligatures w14:val="none"/>
              </w:rPr>
              <w:t>st</w:t>
            </w:r>
            <w:r w:rsidR="00CD6EE7" w:rsidRPr="008D21C4">
              <w:rPr>
                <w:rFonts w:eastAsia="Times New Roman" w:cs="Times New Roman"/>
                <w:b/>
                <w:bCs/>
                <w:color w:val="000000"/>
                <w:kern w:val="0"/>
                <w:sz w:val="20"/>
                <w:szCs w:val="20"/>
                <w:lang w:eastAsia="en-GB"/>
                <w14:ligatures w14:val="none"/>
              </w:rPr>
              <w:t xml:space="preserve"> From Investments</w:t>
            </w:r>
          </w:p>
        </w:tc>
        <w:tc>
          <w:tcPr>
            <w:tcW w:w="1026" w:type="dxa"/>
            <w:tcBorders>
              <w:top w:val="nil"/>
              <w:left w:val="nil"/>
              <w:bottom w:val="single" w:sz="4" w:space="0" w:color="auto"/>
              <w:right w:val="single" w:sz="4" w:space="0" w:color="auto"/>
            </w:tcBorders>
            <w:noWrap/>
            <w:vAlign w:val="bottom"/>
            <w:hideMark/>
          </w:tcPr>
          <w:p w14:paraId="7D076E75" w14:textId="69CA90D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21258CCC" w14:textId="0B342108"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38971F30" w14:textId="31F4D50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18944D4E" w14:textId="10680BD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18533BB5" w14:textId="77777777" w:rsidTr="2CA5FF48">
        <w:trPr>
          <w:trHeight w:val="270"/>
        </w:trPr>
        <w:tc>
          <w:tcPr>
            <w:tcW w:w="1155" w:type="dxa"/>
            <w:tcBorders>
              <w:top w:val="nil"/>
              <w:left w:val="single" w:sz="12" w:space="0" w:color="auto"/>
              <w:bottom w:val="single" w:sz="4" w:space="0" w:color="auto"/>
              <w:right w:val="single" w:sz="4" w:space="0" w:color="auto"/>
            </w:tcBorders>
            <w:noWrap/>
            <w:vAlign w:val="bottom"/>
            <w:hideMark/>
          </w:tcPr>
          <w:p w14:paraId="50760D0A" w14:textId="0EB30EA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5BDF285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Rents</w:t>
            </w:r>
          </w:p>
        </w:tc>
        <w:tc>
          <w:tcPr>
            <w:tcW w:w="1026" w:type="dxa"/>
            <w:tcBorders>
              <w:top w:val="nil"/>
              <w:left w:val="nil"/>
              <w:bottom w:val="single" w:sz="4" w:space="0" w:color="auto"/>
              <w:right w:val="single" w:sz="4" w:space="0" w:color="auto"/>
            </w:tcBorders>
            <w:noWrap/>
            <w:vAlign w:val="bottom"/>
            <w:hideMark/>
          </w:tcPr>
          <w:p w14:paraId="1B1BD7DE" w14:textId="3007DD0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6352AF4" w14:textId="28B6DBDA"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10BD9B2D" w14:textId="36AFDEE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54F6BA3B" w14:textId="0ECCBA8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49AA22EF" w14:textId="77777777" w:rsidTr="2CA5FF48">
        <w:trPr>
          <w:trHeight w:val="280"/>
        </w:trPr>
        <w:tc>
          <w:tcPr>
            <w:tcW w:w="115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4C26532A" w14:textId="29891B7B"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755145E0"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Total Income</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49F2977D" w14:textId="5F1D122D"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(722)</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AAA6CA6" w14:textId="794F4493"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(744)</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77171F20" w14:textId="7106C1BF"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(758)</w:t>
            </w:r>
          </w:p>
        </w:tc>
        <w:tc>
          <w:tcPr>
            <w:tcW w:w="105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4D121485" w14:textId="2B43B074" w:rsidR="00CD6EE7" w:rsidRPr="008D21C4" w:rsidRDefault="00CD6EE7" w:rsidP="00CD6EE7">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(774)</w:t>
            </w:r>
          </w:p>
        </w:tc>
      </w:tr>
      <w:tr w:rsidR="005A0712" w:rsidRPr="008D21C4" w14:paraId="6B874733" w14:textId="77777777" w:rsidTr="2CA5FF48">
        <w:trPr>
          <w:trHeight w:val="280"/>
        </w:trPr>
        <w:tc>
          <w:tcPr>
            <w:tcW w:w="1155" w:type="dxa"/>
            <w:tcBorders>
              <w:top w:val="nil"/>
              <w:left w:val="single" w:sz="12" w:space="0" w:color="auto"/>
              <w:bottom w:val="single" w:sz="12" w:space="0" w:color="auto"/>
              <w:right w:val="single" w:sz="4" w:space="0" w:color="auto"/>
            </w:tcBorders>
            <w:shd w:val="clear" w:color="auto" w:fill="E8E8E8"/>
            <w:noWrap/>
            <w:vAlign w:val="bottom"/>
            <w:hideMark/>
          </w:tcPr>
          <w:p w14:paraId="1F0B04E4" w14:textId="7D679C86"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1,479</w:t>
            </w:r>
          </w:p>
        </w:tc>
        <w:tc>
          <w:tcPr>
            <w:tcW w:w="4006" w:type="dxa"/>
            <w:tcBorders>
              <w:top w:val="nil"/>
              <w:left w:val="single" w:sz="12" w:space="0" w:color="auto"/>
              <w:bottom w:val="single" w:sz="12" w:space="0" w:color="auto"/>
              <w:right w:val="single" w:sz="12" w:space="0" w:color="auto"/>
            </w:tcBorders>
            <w:shd w:val="clear" w:color="auto" w:fill="E8E8E8"/>
            <w:noWrap/>
            <w:vAlign w:val="bottom"/>
            <w:hideMark/>
          </w:tcPr>
          <w:p w14:paraId="04C75F0C"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(Income)</w:t>
            </w:r>
          </w:p>
        </w:tc>
        <w:tc>
          <w:tcPr>
            <w:tcW w:w="1026" w:type="dxa"/>
            <w:tcBorders>
              <w:top w:val="nil"/>
              <w:left w:val="nil"/>
              <w:bottom w:val="single" w:sz="12" w:space="0" w:color="auto"/>
              <w:right w:val="single" w:sz="4" w:space="0" w:color="auto"/>
            </w:tcBorders>
            <w:shd w:val="clear" w:color="auto" w:fill="E8E8E8"/>
            <w:noWrap/>
            <w:vAlign w:val="bottom"/>
            <w:hideMark/>
          </w:tcPr>
          <w:p w14:paraId="6F95F605" w14:textId="16EFFCA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653</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670C1387" w14:textId="31E7363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650</w:t>
            </w:r>
          </w:p>
        </w:tc>
        <w:tc>
          <w:tcPr>
            <w:tcW w:w="1172" w:type="dxa"/>
            <w:tcBorders>
              <w:top w:val="nil"/>
              <w:left w:val="single" w:sz="12" w:space="0" w:color="auto"/>
              <w:bottom w:val="single" w:sz="12" w:space="0" w:color="auto"/>
              <w:right w:val="single" w:sz="4" w:space="0" w:color="auto"/>
            </w:tcBorders>
            <w:shd w:val="clear" w:color="auto" w:fill="E8E8E8"/>
            <w:noWrap/>
            <w:vAlign w:val="bottom"/>
            <w:hideMark/>
          </w:tcPr>
          <w:p w14:paraId="555609AB" w14:textId="47E65989"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653</w:t>
            </w:r>
          </w:p>
        </w:tc>
        <w:tc>
          <w:tcPr>
            <w:tcW w:w="1050" w:type="dxa"/>
            <w:tcBorders>
              <w:top w:val="nil"/>
              <w:left w:val="single" w:sz="12" w:space="0" w:color="auto"/>
              <w:bottom w:val="single" w:sz="12" w:space="0" w:color="auto"/>
              <w:right w:val="single" w:sz="12" w:space="0" w:color="auto"/>
            </w:tcBorders>
            <w:shd w:val="clear" w:color="auto" w:fill="E8E8E8"/>
            <w:noWrap/>
            <w:vAlign w:val="bottom"/>
            <w:hideMark/>
          </w:tcPr>
          <w:p w14:paraId="60BDC6FA" w14:textId="0CAC1C9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657</w:t>
            </w:r>
          </w:p>
        </w:tc>
      </w:tr>
      <w:tr w:rsidR="005A0712" w:rsidRPr="008D21C4" w14:paraId="3AD97994" w14:textId="77777777" w:rsidTr="2CA5FF48">
        <w:trPr>
          <w:trHeight w:val="270"/>
        </w:trPr>
        <w:tc>
          <w:tcPr>
            <w:tcW w:w="1155" w:type="dxa"/>
            <w:tcBorders>
              <w:top w:val="single" w:sz="4" w:space="0" w:color="auto"/>
              <w:left w:val="single" w:sz="12" w:space="0" w:color="auto"/>
              <w:bottom w:val="single" w:sz="4" w:space="0" w:color="auto"/>
              <w:right w:val="single" w:sz="4" w:space="0" w:color="auto"/>
            </w:tcBorders>
            <w:noWrap/>
            <w:vAlign w:val="bottom"/>
            <w:hideMark/>
          </w:tcPr>
          <w:p w14:paraId="3FC35C53" w14:textId="7C48DAF2"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single" w:sz="4" w:space="0" w:color="auto"/>
              <w:left w:val="single" w:sz="12" w:space="0" w:color="auto"/>
              <w:bottom w:val="single" w:sz="4" w:space="0" w:color="auto"/>
              <w:right w:val="single" w:sz="12" w:space="0" w:color="auto"/>
            </w:tcBorders>
            <w:shd w:val="clear" w:color="auto" w:fill="E8E8E8"/>
            <w:vAlign w:val="bottom"/>
            <w:hideMark/>
          </w:tcPr>
          <w:p w14:paraId="44B9AC1A"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from Reserves</w:t>
            </w:r>
          </w:p>
        </w:tc>
        <w:tc>
          <w:tcPr>
            <w:tcW w:w="1026" w:type="dxa"/>
            <w:tcBorders>
              <w:top w:val="single" w:sz="4" w:space="0" w:color="auto"/>
              <w:left w:val="nil"/>
              <w:bottom w:val="single" w:sz="4" w:space="0" w:color="auto"/>
              <w:right w:val="single" w:sz="4" w:space="0" w:color="auto"/>
            </w:tcBorders>
            <w:noWrap/>
            <w:vAlign w:val="bottom"/>
            <w:hideMark/>
          </w:tcPr>
          <w:p w14:paraId="220C3405" w14:textId="30C12A85"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49345DBC" w14:textId="02EA3DF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single" w:sz="4" w:space="0" w:color="auto"/>
              <w:left w:val="single" w:sz="12" w:space="0" w:color="auto"/>
              <w:bottom w:val="single" w:sz="4" w:space="0" w:color="auto"/>
              <w:right w:val="single" w:sz="4" w:space="0" w:color="auto"/>
            </w:tcBorders>
            <w:noWrap/>
            <w:vAlign w:val="bottom"/>
            <w:hideMark/>
          </w:tcPr>
          <w:p w14:paraId="78FCDECB" w14:textId="4437AA2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single" w:sz="4" w:space="0" w:color="auto"/>
              <w:left w:val="single" w:sz="12" w:space="0" w:color="auto"/>
              <w:bottom w:val="single" w:sz="4" w:space="0" w:color="auto"/>
              <w:right w:val="single" w:sz="12" w:space="0" w:color="auto"/>
            </w:tcBorders>
            <w:noWrap/>
            <w:vAlign w:val="bottom"/>
            <w:hideMark/>
          </w:tcPr>
          <w:p w14:paraId="17FC085C" w14:textId="1272580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79CEDD0C" w14:textId="77777777" w:rsidTr="2CA5FF48">
        <w:trPr>
          <w:trHeight w:val="270"/>
        </w:trPr>
        <w:tc>
          <w:tcPr>
            <w:tcW w:w="1155" w:type="dxa"/>
            <w:tcBorders>
              <w:top w:val="nil"/>
              <w:left w:val="single" w:sz="12" w:space="0" w:color="auto"/>
              <w:bottom w:val="single" w:sz="4" w:space="0" w:color="auto"/>
              <w:right w:val="single" w:sz="4" w:space="0" w:color="auto"/>
            </w:tcBorders>
            <w:noWrap/>
            <w:vAlign w:val="bottom"/>
            <w:hideMark/>
          </w:tcPr>
          <w:p w14:paraId="4419F988" w14:textId="3276532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4006" w:type="dxa"/>
            <w:tcBorders>
              <w:top w:val="nil"/>
              <w:left w:val="single" w:sz="12" w:space="0" w:color="auto"/>
              <w:bottom w:val="single" w:sz="4" w:space="0" w:color="auto"/>
              <w:right w:val="single" w:sz="12" w:space="0" w:color="auto"/>
            </w:tcBorders>
            <w:shd w:val="clear" w:color="auto" w:fill="E8E8E8"/>
            <w:vAlign w:val="bottom"/>
            <w:hideMark/>
          </w:tcPr>
          <w:p w14:paraId="3386BD49" w14:textId="77777777"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Contribution To Reserves</w:t>
            </w:r>
          </w:p>
        </w:tc>
        <w:tc>
          <w:tcPr>
            <w:tcW w:w="1026" w:type="dxa"/>
            <w:tcBorders>
              <w:top w:val="nil"/>
              <w:left w:val="nil"/>
              <w:bottom w:val="single" w:sz="4" w:space="0" w:color="auto"/>
              <w:right w:val="single" w:sz="4" w:space="0" w:color="auto"/>
            </w:tcBorders>
            <w:noWrap/>
            <w:vAlign w:val="bottom"/>
            <w:hideMark/>
          </w:tcPr>
          <w:p w14:paraId="53185C0E" w14:textId="54DA8F93"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68906A50" w14:textId="289A804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172" w:type="dxa"/>
            <w:tcBorders>
              <w:top w:val="nil"/>
              <w:left w:val="single" w:sz="12" w:space="0" w:color="auto"/>
              <w:bottom w:val="single" w:sz="4" w:space="0" w:color="auto"/>
              <w:right w:val="single" w:sz="4" w:space="0" w:color="auto"/>
            </w:tcBorders>
            <w:noWrap/>
            <w:vAlign w:val="bottom"/>
            <w:hideMark/>
          </w:tcPr>
          <w:p w14:paraId="074B681E" w14:textId="13B201A0"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c>
          <w:tcPr>
            <w:tcW w:w="1050" w:type="dxa"/>
            <w:tcBorders>
              <w:top w:val="nil"/>
              <w:left w:val="single" w:sz="12" w:space="0" w:color="auto"/>
              <w:bottom w:val="single" w:sz="4" w:space="0" w:color="auto"/>
              <w:right w:val="single" w:sz="12" w:space="0" w:color="auto"/>
            </w:tcBorders>
            <w:noWrap/>
            <w:vAlign w:val="bottom"/>
            <w:hideMark/>
          </w:tcPr>
          <w:p w14:paraId="72E5ED55" w14:textId="3AD02938"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w:t>
            </w:r>
          </w:p>
        </w:tc>
      </w:tr>
      <w:tr w:rsidR="005A0712" w:rsidRPr="008D21C4" w14:paraId="0ED6B6C7" w14:textId="77777777" w:rsidTr="2CA5FF48">
        <w:trPr>
          <w:trHeight w:val="280"/>
        </w:trPr>
        <w:tc>
          <w:tcPr>
            <w:tcW w:w="1155"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0030947" w14:textId="0DF8C2CD"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1,479</w:t>
            </w:r>
          </w:p>
        </w:tc>
        <w:tc>
          <w:tcPr>
            <w:tcW w:w="4006"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F879C44" w14:textId="33A1486E" w:rsidR="00CD6EE7" w:rsidRPr="008D21C4" w:rsidRDefault="00CD6EE7" w:rsidP="00CD6EE7">
            <w:pPr>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Net Expenditure after Contribution to/(From) Reserves</w:t>
            </w:r>
          </w:p>
        </w:tc>
        <w:tc>
          <w:tcPr>
            <w:tcW w:w="1026" w:type="dxa"/>
            <w:tcBorders>
              <w:top w:val="single" w:sz="12" w:space="0" w:color="auto"/>
              <w:left w:val="nil"/>
              <w:bottom w:val="single" w:sz="12" w:space="0" w:color="auto"/>
              <w:right w:val="single" w:sz="4" w:space="0" w:color="auto"/>
            </w:tcBorders>
            <w:shd w:val="clear" w:color="auto" w:fill="E8E8E8"/>
            <w:noWrap/>
            <w:vAlign w:val="bottom"/>
            <w:hideMark/>
          </w:tcPr>
          <w:p w14:paraId="7082D4BC" w14:textId="33A212CE"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653</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6628300C" w14:textId="6145CAA4"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650</w:t>
            </w:r>
          </w:p>
        </w:tc>
        <w:tc>
          <w:tcPr>
            <w:tcW w:w="1172"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2EC83106" w14:textId="7A2F175F"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653</w:t>
            </w:r>
          </w:p>
        </w:tc>
        <w:tc>
          <w:tcPr>
            <w:tcW w:w="105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10D85E6" w14:textId="0C95398C" w:rsidR="00CD6EE7" w:rsidRPr="008D21C4" w:rsidRDefault="00CD6EE7" w:rsidP="000B2E25">
            <w:pPr>
              <w:jc w:val="right"/>
              <w:rPr>
                <w:rFonts w:eastAsia="Times New Roman" w:cs="Times New Roman"/>
                <w:b/>
                <w:bCs/>
                <w:color w:val="000000"/>
                <w:kern w:val="0"/>
                <w:sz w:val="20"/>
                <w:szCs w:val="20"/>
                <w:lang w:eastAsia="en-GB"/>
                <w14:ligatures w14:val="none"/>
              </w:rPr>
            </w:pPr>
            <w:r w:rsidRPr="008D21C4">
              <w:rPr>
                <w:rFonts w:eastAsia="Times New Roman" w:cs="Times New Roman"/>
                <w:b/>
                <w:bCs/>
                <w:color w:val="000000"/>
                <w:kern w:val="0"/>
                <w:sz w:val="20"/>
                <w:szCs w:val="20"/>
                <w:lang w:eastAsia="en-GB"/>
                <w14:ligatures w14:val="none"/>
              </w:rPr>
              <w:t>657</w:t>
            </w:r>
          </w:p>
        </w:tc>
      </w:tr>
    </w:tbl>
    <w:p w14:paraId="2A9D3CE7" w14:textId="77777777" w:rsidR="00250544" w:rsidRPr="008D21C4" w:rsidRDefault="00250544" w:rsidP="4252674D">
      <w:pPr>
        <w:ind w:left="284" w:hanging="284"/>
        <w:rPr>
          <w:rFonts w:ascii="Inter" w:hAnsi="Inter" w:cs="Arial"/>
          <w:b/>
          <w:bCs/>
        </w:rPr>
      </w:pPr>
    </w:p>
    <w:p w14:paraId="5F1B53C5" w14:textId="53315ADE" w:rsidR="4252674D" w:rsidRDefault="4252674D" w:rsidP="4252674D">
      <w:pPr>
        <w:ind w:left="284" w:hanging="284"/>
        <w:rPr>
          <w:rFonts w:ascii="Inter" w:hAnsi="Inter" w:cs="Arial"/>
          <w:b/>
          <w:bCs/>
        </w:rPr>
      </w:pPr>
    </w:p>
    <w:p w14:paraId="181DDE7A" w14:textId="77777777" w:rsidR="008F4E68" w:rsidRDefault="008F4E68" w:rsidP="4252674D">
      <w:pPr>
        <w:ind w:left="284" w:hanging="284"/>
        <w:rPr>
          <w:rFonts w:ascii="Inter" w:hAnsi="Inter" w:cs="Arial"/>
          <w:b/>
          <w:bCs/>
        </w:rPr>
      </w:pPr>
    </w:p>
    <w:p w14:paraId="2F5AE603" w14:textId="77777777" w:rsidR="008F4E68" w:rsidRDefault="008F4E68" w:rsidP="4252674D">
      <w:pPr>
        <w:ind w:left="284" w:hanging="284"/>
        <w:rPr>
          <w:rFonts w:ascii="Inter" w:hAnsi="Inter" w:cs="Arial"/>
          <w:b/>
          <w:bCs/>
        </w:rPr>
      </w:pPr>
    </w:p>
    <w:p w14:paraId="4B0C9E8F" w14:textId="77777777" w:rsidR="008F4E68" w:rsidRDefault="008F4E68" w:rsidP="4252674D">
      <w:pPr>
        <w:ind w:left="284" w:hanging="284"/>
        <w:rPr>
          <w:rFonts w:ascii="Inter" w:hAnsi="Inter" w:cs="Arial"/>
          <w:b/>
          <w:bCs/>
        </w:rPr>
      </w:pPr>
    </w:p>
    <w:p w14:paraId="2A97A880" w14:textId="77777777" w:rsidR="008F4E68" w:rsidRDefault="008F4E68" w:rsidP="4252674D">
      <w:pPr>
        <w:ind w:left="284" w:hanging="284"/>
        <w:rPr>
          <w:rFonts w:ascii="Inter" w:hAnsi="Inter" w:cs="Arial"/>
          <w:b/>
          <w:bCs/>
        </w:rPr>
      </w:pPr>
    </w:p>
    <w:p w14:paraId="72F43A38" w14:textId="77777777" w:rsidR="008F4E68" w:rsidRDefault="008F4E68" w:rsidP="4252674D">
      <w:pPr>
        <w:ind w:left="284" w:hanging="284"/>
        <w:rPr>
          <w:rFonts w:ascii="Inter" w:hAnsi="Inter" w:cs="Arial"/>
          <w:b/>
          <w:bCs/>
        </w:rPr>
      </w:pPr>
    </w:p>
    <w:p w14:paraId="7538CBD8" w14:textId="77777777" w:rsidR="008F4E68" w:rsidRDefault="008F4E68" w:rsidP="4252674D">
      <w:pPr>
        <w:ind w:left="284" w:hanging="284"/>
        <w:rPr>
          <w:rFonts w:ascii="Inter" w:hAnsi="Inter" w:cs="Arial"/>
          <w:b/>
          <w:bCs/>
        </w:rPr>
      </w:pPr>
    </w:p>
    <w:p w14:paraId="1F20EE71" w14:textId="77777777" w:rsidR="008F4E68" w:rsidRDefault="008F4E68" w:rsidP="4252674D">
      <w:pPr>
        <w:ind w:left="284" w:hanging="284"/>
        <w:rPr>
          <w:rFonts w:ascii="Inter" w:hAnsi="Inter" w:cs="Arial"/>
          <w:b/>
          <w:bCs/>
        </w:rPr>
      </w:pPr>
    </w:p>
    <w:p w14:paraId="3258ACFA" w14:textId="77777777" w:rsidR="008F4E68" w:rsidRDefault="008F4E68" w:rsidP="4252674D">
      <w:pPr>
        <w:ind w:left="284" w:hanging="284"/>
        <w:rPr>
          <w:rFonts w:ascii="Inter" w:hAnsi="Inter" w:cs="Arial"/>
          <w:b/>
          <w:bCs/>
        </w:rPr>
      </w:pPr>
    </w:p>
    <w:p w14:paraId="451F35A1" w14:textId="77777777" w:rsidR="008F4E68" w:rsidRDefault="008F4E68" w:rsidP="4252674D">
      <w:pPr>
        <w:ind w:left="284" w:hanging="284"/>
        <w:rPr>
          <w:rFonts w:ascii="Inter" w:hAnsi="Inter" w:cs="Arial"/>
          <w:b/>
          <w:bCs/>
        </w:rPr>
      </w:pPr>
    </w:p>
    <w:p w14:paraId="4FAA72A9" w14:textId="77777777" w:rsidR="008F4E68" w:rsidRDefault="008F4E68" w:rsidP="4252674D">
      <w:pPr>
        <w:ind w:left="284" w:hanging="284"/>
        <w:rPr>
          <w:rFonts w:ascii="Inter" w:hAnsi="Inter" w:cs="Arial"/>
          <w:b/>
          <w:bCs/>
        </w:rPr>
      </w:pPr>
    </w:p>
    <w:p w14:paraId="14EFFB57" w14:textId="77777777" w:rsidR="008F4E68" w:rsidRDefault="008F4E68" w:rsidP="4252674D">
      <w:pPr>
        <w:ind w:left="284" w:hanging="284"/>
        <w:rPr>
          <w:rFonts w:ascii="Inter" w:hAnsi="Inter" w:cs="Arial"/>
          <w:b/>
          <w:bCs/>
        </w:rPr>
      </w:pPr>
    </w:p>
    <w:p w14:paraId="299CB77F" w14:textId="77777777" w:rsidR="008F4E68" w:rsidRDefault="008F4E68" w:rsidP="4252674D">
      <w:pPr>
        <w:ind w:left="284" w:hanging="284"/>
        <w:rPr>
          <w:rFonts w:ascii="Inter" w:hAnsi="Inter" w:cs="Arial"/>
          <w:b/>
          <w:bCs/>
        </w:rPr>
      </w:pPr>
    </w:p>
    <w:p w14:paraId="18B59B9C" w14:textId="77777777" w:rsidR="008F4E68" w:rsidRDefault="008F4E68" w:rsidP="4252674D">
      <w:pPr>
        <w:ind w:left="284" w:hanging="284"/>
        <w:rPr>
          <w:rFonts w:ascii="Inter" w:hAnsi="Inter" w:cs="Arial"/>
          <w:b/>
          <w:bCs/>
        </w:rPr>
      </w:pPr>
    </w:p>
    <w:p w14:paraId="70960133" w14:textId="77777777" w:rsidR="008F4E68" w:rsidRDefault="008F4E68" w:rsidP="4252674D">
      <w:pPr>
        <w:ind w:left="284" w:hanging="284"/>
        <w:rPr>
          <w:rFonts w:ascii="Inter" w:hAnsi="Inter" w:cs="Arial"/>
          <w:b/>
          <w:bCs/>
        </w:rPr>
      </w:pPr>
    </w:p>
    <w:p w14:paraId="631190DF" w14:textId="77777777" w:rsidR="008F4E68" w:rsidRDefault="008F4E68" w:rsidP="4252674D">
      <w:pPr>
        <w:ind w:left="284" w:hanging="284"/>
        <w:rPr>
          <w:rFonts w:ascii="Inter" w:hAnsi="Inter" w:cs="Arial"/>
          <w:b/>
          <w:bCs/>
        </w:rPr>
      </w:pPr>
    </w:p>
    <w:p w14:paraId="0C8F79F2" w14:textId="77777777" w:rsidR="008F4E68" w:rsidRDefault="008F4E68" w:rsidP="4252674D">
      <w:pPr>
        <w:ind w:left="284" w:hanging="284"/>
        <w:rPr>
          <w:rFonts w:ascii="Inter" w:hAnsi="Inter" w:cs="Arial"/>
          <w:b/>
          <w:bCs/>
        </w:rPr>
      </w:pPr>
    </w:p>
    <w:p w14:paraId="4E8DC0E4" w14:textId="77777777" w:rsidR="008F4E68" w:rsidRDefault="008F4E68" w:rsidP="4252674D">
      <w:pPr>
        <w:ind w:left="284" w:hanging="284"/>
        <w:rPr>
          <w:rFonts w:ascii="Inter" w:hAnsi="Inter" w:cs="Arial"/>
          <w:b/>
          <w:bCs/>
        </w:rPr>
      </w:pPr>
    </w:p>
    <w:p w14:paraId="09E4658A" w14:textId="77777777" w:rsidR="008F4E68" w:rsidRDefault="008F4E68" w:rsidP="4252674D">
      <w:pPr>
        <w:ind w:left="284" w:hanging="284"/>
        <w:rPr>
          <w:rFonts w:ascii="Inter" w:hAnsi="Inter" w:cs="Arial"/>
          <w:b/>
          <w:bCs/>
        </w:rPr>
      </w:pPr>
    </w:p>
    <w:p w14:paraId="27414B59" w14:textId="77777777" w:rsidR="008F4E68" w:rsidRDefault="008F4E68" w:rsidP="4252674D">
      <w:pPr>
        <w:ind w:left="284" w:hanging="284"/>
        <w:rPr>
          <w:rFonts w:ascii="Inter" w:hAnsi="Inter" w:cs="Arial"/>
          <w:b/>
          <w:bCs/>
        </w:rPr>
      </w:pPr>
    </w:p>
    <w:p w14:paraId="4F2F2120" w14:textId="77777777" w:rsidR="008F4E68" w:rsidRDefault="008F4E68" w:rsidP="4252674D">
      <w:pPr>
        <w:ind w:left="284" w:hanging="284"/>
        <w:rPr>
          <w:rFonts w:ascii="Inter" w:hAnsi="Inter" w:cs="Arial"/>
          <w:b/>
          <w:bCs/>
        </w:rPr>
      </w:pPr>
    </w:p>
    <w:p w14:paraId="27016E48" w14:textId="77777777" w:rsidR="008F4E68" w:rsidRDefault="008F4E68" w:rsidP="4252674D">
      <w:pPr>
        <w:ind w:left="284" w:hanging="284"/>
        <w:rPr>
          <w:rFonts w:ascii="Inter" w:hAnsi="Inter" w:cs="Arial"/>
          <w:b/>
          <w:bCs/>
        </w:rPr>
      </w:pPr>
    </w:p>
    <w:p w14:paraId="328D7D20" w14:textId="77777777" w:rsidR="008F4E68" w:rsidRDefault="008F4E68" w:rsidP="4252674D">
      <w:pPr>
        <w:ind w:left="284" w:hanging="284"/>
        <w:rPr>
          <w:rFonts w:ascii="Inter" w:hAnsi="Inter" w:cs="Arial"/>
          <w:b/>
          <w:bCs/>
        </w:rPr>
      </w:pPr>
    </w:p>
    <w:p w14:paraId="750763B2" w14:textId="77777777" w:rsidR="008F4E68" w:rsidRDefault="008F4E68" w:rsidP="4252674D">
      <w:pPr>
        <w:ind w:left="284" w:hanging="284"/>
        <w:rPr>
          <w:rFonts w:ascii="Inter" w:hAnsi="Inter" w:cs="Arial"/>
          <w:b/>
          <w:bCs/>
        </w:rPr>
      </w:pPr>
    </w:p>
    <w:p w14:paraId="11453EEA" w14:textId="77777777" w:rsidR="008F4E68" w:rsidRDefault="008F4E68" w:rsidP="4252674D">
      <w:pPr>
        <w:ind w:left="284" w:hanging="284"/>
        <w:rPr>
          <w:rFonts w:ascii="Inter" w:hAnsi="Inter" w:cs="Arial"/>
          <w:b/>
          <w:bCs/>
        </w:rPr>
      </w:pPr>
    </w:p>
    <w:p w14:paraId="00CE2415" w14:textId="77777777" w:rsidR="00EC4F09" w:rsidRDefault="00EC4F09">
      <w:pPr>
        <w:rPr>
          <w:rFonts w:ascii="Inter SemiBold" w:eastAsiaTheme="majorEastAsia" w:hAnsi="Inter SemiBold" w:cstheme="majorBidi"/>
          <w:b/>
          <w:iCs/>
          <w:color w:val="000000" w:themeColor="text1"/>
        </w:rPr>
      </w:pPr>
      <w:r>
        <w:br w:type="page"/>
      </w:r>
    </w:p>
    <w:p w14:paraId="1CC9B05D" w14:textId="04F12D40" w:rsidR="00C26AA6" w:rsidRPr="00802149" w:rsidRDefault="00CE1D20" w:rsidP="00207485">
      <w:pPr>
        <w:pStyle w:val="Heading4"/>
      </w:pPr>
      <w:r w:rsidRPr="00802149">
        <w:lastRenderedPageBreak/>
        <w:t xml:space="preserve">Appendix 2 – proposed TVCA </w:t>
      </w:r>
      <w:r w:rsidR="00982D3F" w:rsidRPr="00802149">
        <w:t>Budget 2026/27</w:t>
      </w:r>
      <w:r w:rsidRPr="00802149">
        <w:t xml:space="preserve"> consultation plan</w:t>
      </w:r>
    </w:p>
    <w:p w14:paraId="3D91115A" w14:textId="77777777" w:rsidR="00EC4F09" w:rsidRDefault="00EC4F09" w:rsidP="00EC4F09"/>
    <w:p w14:paraId="60F82F33" w14:textId="28C63324" w:rsidR="00EC4F09" w:rsidRPr="00EC4F09" w:rsidRDefault="00EC4F09" w:rsidP="00EC4F09">
      <w:r w:rsidRPr="00EC4F09">
        <w:t>Approval by the Cabinet to consult on the budget proposals shall not be taken to predetermine their final approval, or the position of the Mayor or individual Cabinet members, with or without amendments, following consultation. As per the Tees Valley Combined Authority Constitution, Consultation shall take place on the draft Budget for such a period, and with such consultees as the Cabinet shall determine. Consultees shall include the Business Board, the Overview and Scrutiny Committee, representatives of the business community, higher and further education institutions, trade unions, and the Constituent Authorities.</w:t>
      </w:r>
    </w:p>
    <w:p w14:paraId="2C37AFF0" w14:textId="77777777" w:rsidR="00EC4F09" w:rsidRPr="00EC4F09" w:rsidRDefault="00EC4F09" w:rsidP="00EC4F09">
      <w:r w:rsidRPr="00EC4F09">
        <w:t> </w:t>
      </w:r>
    </w:p>
    <w:p w14:paraId="6F65600E" w14:textId="77777777" w:rsidR="00EC4F09" w:rsidRPr="00EC4F09" w:rsidRDefault="00EC4F09" w:rsidP="00EC4F09">
      <w:r w:rsidRPr="00EC4F09">
        <w:rPr>
          <w:lang w:val="en-US"/>
        </w:rPr>
        <w:t xml:space="preserve">Subject to the agreement of Cabinet the draft Budget will be published for public consultation during the period </w:t>
      </w:r>
      <w:r w:rsidRPr="008A1BAE">
        <w:rPr>
          <w:lang w:val="en-US"/>
        </w:rPr>
        <w:t>2nd February to 3</w:t>
      </w:r>
      <w:r w:rsidRPr="008A1BAE">
        <w:rPr>
          <w:vertAlign w:val="superscript"/>
          <w:lang w:val="en-US"/>
        </w:rPr>
        <w:t>rd</w:t>
      </w:r>
      <w:r w:rsidRPr="008A1BAE">
        <w:rPr>
          <w:lang w:val="en-US"/>
        </w:rPr>
        <w:t> March.</w:t>
      </w:r>
      <w:r w:rsidRPr="00EC4F09">
        <w:rPr>
          <w:lang w:val="en-US"/>
        </w:rPr>
        <w:t xml:space="preserve"> During this period, the draft Budget will be subject to scrutiny through the Combined Authority Overview and Scrutiny Committee and will also be considered at the respective meetings of the Tees Valley Directors of Finance and Resources, Tees Valley Management Group and Local Authority Chief Executives.</w:t>
      </w:r>
      <w:r w:rsidRPr="00EC4F09">
        <w:t> </w:t>
      </w:r>
    </w:p>
    <w:p w14:paraId="1F22D912" w14:textId="77777777" w:rsidR="00EC4F09" w:rsidRPr="00EC4F09" w:rsidRDefault="00EC4F09" w:rsidP="00EC4F09">
      <w:r w:rsidRPr="00EC4F09">
        <w:t> </w:t>
      </w:r>
    </w:p>
    <w:p w14:paraId="16EE553E" w14:textId="366D086D" w:rsidR="00EC4F09" w:rsidRPr="00EC4F09" w:rsidRDefault="00EC4F09" w:rsidP="00EC4F09">
      <w:r w:rsidRPr="00EC4F09">
        <w:t xml:space="preserve">An initial workshop with Cabinet on the draft Budget was held on 7 November 2025, with further Cabinet engagement taking place on </w:t>
      </w:r>
      <w:r w:rsidRPr="00B5400F">
        <w:t>16 January 2026.</w:t>
      </w:r>
      <w:r w:rsidR="004E35DB">
        <w:t xml:space="preserve"> </w:t>
      </w:r>
      <w:r w:rsidR="009E5926" w:rsidRPr="009E5926">
        <w:t xml:space="preserve">There will be further engagement with Cabinet in advance of the final budget being presented on the 20 March 2025. </w:t>
      </w:r>
    </w:p>
    <w:p w14:paraId="5048ECDC" w14:textId="77777777" w:rsidR="00EC4F09" w:rsidRPr="00EC4F09" w:rsidRDefault="00EC4F09" w:rsidP="00EC4F09">
      <w:r w:rsidRPr="00EC4F09">
        <w:t> </w:t>
      </w:r>
    </w:p>
    <w:p w14:paraId="18B39CC0" w14:textId="77777777" w:rsidR="00EC4F09" w:rsidRPr="00EC4F09" w:rsidRDefault="00EC4F09" w:rsidP="00EC4F09">
      <w:r w:rsidRPr="00EC4F09">
        <w:t>When the consultation period opens, the public will be informed of their ability to provide feedback via a dedicated webpage on the TVCA website and written feedback to the office address. This will be publicised via social media posts running throughout the period, and on the Consultation page on the TVCA website.</w:t>
      </w:r>
    </w:p>
    <w:p w14:paraId="3D9129A6" w14:textId="77777777" w:rsidR="00EC4F09" w:rsidRPr="00EC4F09" w:rsidRDefault="00EC4F09" w:rsidP="00EC4F09">
      <w:r w:rsidRPr="00EC4F09">
        <w:t> </w:t>
      </w:r>
    </w:p>
    <w:p w14:paraId="04F78C1E" w14:textId="4764881E" w:rsidR="00EC4F09" w:rsidRDefault="00EC4F09" w:rsidP="00EC4F09">
      <w:r w:rsidRPr="00EC4F09">
        <w:t>The comments received regarding the draft Budget will be considered and, where applicable, reflected in a revised Budget proposal from the Mayor due to be presented at Cabinet in March 2026.</w:t>
      </w:r>
    </w:p>
    <w:p w14:paraId="76C6BDE3" w14:textId="77777777" w:rsidR="00EC4F09" w:rsidRDefault="00EC4F09">
      <w:r>
        <w:br w:type="page"/>
      </w:r>
    </w:p>
    <w:p w14:paraId="703BF64B" w14:textId="77777777" w:rsidR="00EC4F09" w:rsidRPr="00EC4F09" w:rsidRDefault="00EC4F09" w:rsidP="00EC4F09"/>
    <w:p w14:paraId="32D52168" w14:textId="27C700F7" w:rsidR="00982D3F" w:rsidRDefault="00982D3F">
      <w:pPr>
        <w:rPr>
          <w:rFonts w:ascii="Inter SemiBold" w:eastAsiaTheme="majorEastAsia" w:hAnsi="Inter SemiBold" w:cstheme="majorBidi"/>
          <w:b/>
          <w:iCs/>
          <w:color w:val="000000" w:themeColor="text1"/>
        </w:rPr>
      </w:pPr>
    </w:p>
    <w:p w14:paraId="01D79174" w14:textId="48FE395E" w:rsidR="00802149" w:rsidRDefault="00982D3F" w:rsidP="00D02941">
      <w:pPr>
        <w:pStyle w:val="Heading4"/>
        <w:jc w:val="center"/>
      </w:pPr>
      <w:r>
        <w:t xml:space="preserve">Appendix 3 </w:t>
      </w:r>
      <w:r w:rsidR="00F862D7">
        <w:t>TVCA</w:t>
      </w:r>
      <w:r w:rsidR="00242CAF">
        <w:t xml:space="preserve"> -</w:t>
      </w:r>
      <w:r w:rsidR="00F862D7">
        <w:t xml:space="preserve"> </w:t>
      </w:r>
      <w:r w:rsidR="00802149">
        <w:t xml:space="preserve">Lending </w:t>
      </w:r>
      <w:r w:rsidR="00D02941">
        <w:t>Interest</w:t>
      </w:r>
      <w:r w:rsidR="007B55EF">
        <w:t xml:space="preserve"> </w:t>
      </w:r>
      <w:r w:rsidR="00D02941">
        <w:t>Receivable</w:t>
      </w:r>
      <w:r w:rsidR="007B55EF">
        <w:t xml:space="preserve"> </w:t>
      </w:r>
      <w:r w:rsidR="00802149">
        <w:t>Schedule</w:t>
      </w:r>
    </w:p>
    <w:p w14:paraId="585C8593" w14:textId="77777777" w:rsidR="007B55EF" w:rsidRPr="007B55EF" w:rsidRDefault="007B55EF" w:rsidP="00D02941">
      <w:pPr>
        <w:jc w:val="center"/>
      </w:pPr>
    </w:p>
    <w:tbl>
      <w:tblPr>
        <w:tblW w:w="9468" w:type="dxa"/>
        <w:tblLook w:val="04A0" w:firstRow="1" w:lastRow="0" w:firstColumn="1" w:lastColumn="0" w:noHBand="0" w:noVBand="1"/>
      </w:tblPr>
      <w:tblGrid>
        <w:gridCol w:w="2891"/>
        <w:gridCol w:w="2041"/>
        <w:gridCol w:w="1134"/>
        <w:gridCol w:w="1134"/>
        <w:gridCol w:w="1134"/>
        <w:gridCol w:w="1134"/>
      </w:tblGrid>
      <w:tr w:rsidR="00F1210E" w:rsidRPr="00FC0A1A" w14:paraId="30FC478C" w14:textId="77777777" w:rsidTr="7DC21327">
        <w:trPr>
          <w:trHeight w:val="800"/>
        </w:trPr>
        <w:tc>
          <w:tcPr>
            <w:tcW w:w="2891" w:type="dxa"/>
            <w:tcBorders>
              <w:top w:val="single" w:sz="12" w:space="0" w:color="auto"/>
              <w:left w:val="single" w:sz="12" w:space="0" w:color="auto"/>
              <w:bottom w:val="nil"/>
              <w:right w:val="single" w:sz="4" w:space="0" w:color="auto"/>
            </w:tcBorders>
            <w:shd w:val="clear" w:color="auto" w:fill="E8E8E8"/>
            <w:noWrap/>
            <w:vAlign w:val="bottom"/>
            <w:hideMark/>
          </w:tcPr>
          <w:p w14:paraId="433D95B1" w14:textId="77777777" w:rsidR="00FC0A1A" w:rsidRPr="00FC0A1A" w:rsidRDefault="00FC0A1A" w:rsidP="00FC0A1A">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 </w:t>
            </w:r>
          </w:p>
        </w:tc>
        <w:tc>
          <w:tcPr>
            <w:tcW w:w="2041" w:type="dxa"/>
            <w:tcBorders>
              <w:top w:val="single" w:sz="12" w:space="0" w:color="auto"/>
              <w:left w:val="nil"/>
              <w:bottom w:val="nil"/>
              <w:right w:val="single" w:sz="12" w:space="0" w:color="auto"/>
            </w:tcBorders>
            <w:shd w:val="clear" w:color="auto" w:fill="E8E8E8"/>
            <w:hideMark/>
          </w:tcPr>
          <w:p w14:paraId="2CA47DC5" w14:textId="77777777" w:rsidR="00FC0A1A" w:rsidRPr="00FC0A1A" w:rsidRDefault="00FC0A1A"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Opening Balance (Loan Outstanding) April 2026</w:t>
            </w:r>
          </w:p>
        </w:tc>
        <w:tc>
          <w:tcPr>
            <w:tcW w:w="1134" w:type="dxa"/>
            <w:tcBorders>
              <w:top w:val="single" w:sz="12" w:space="0" w:color="auto"/>
              <w:left w:val="nil"/>
              <w:bottom w:val="nil"/>
              <w:right w:val="single" w:sz="4" w:space="0" w:color="auto"/>
            </w:tcBorders>
            <w:shd w:val="clear" w:color="auto" w:fill="E8E8E8"/>
            <w:hideMark/>
          </w:tcPr>
          <w:p w14:paraId="3D79B992" w14:textId="77777777" w:rsidR="00FC0A1A" w:rsidRPr="00FC0A1A" w:rsidRDefault="00FC0A1A"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Interest Forecast 2026/27</w:t>
            </w:r>
          </w:p>
        </w:tc>
        <w:tc>
          <w:tcPr>
            <w:tcW w:w="1134" w:type="dxa"/>
            <w:tcBorders>
              <w:top w:val="single" w:sz="12" w:space="0" w:color="auto"/>
              <w:left w:val="single" w:sz="4" w:space="0" w:color="auto"/>
              <w:bottom w:val="nil"/>
              <w:right w:val="single" w:sz="4" w:space="0" w:color="auto"/>
            </w:tcBorders>
            <w:shd w:val="clear" w:color="auto" w:fill="E8E8E8"/>
            <w:hideMark/>
          </w:tcPr>
          <w:p w14:paraId="01D0E910" w14:textId="4EE0F252" w:rsidR="00FC0A1A" w:rsidRPr="00FC0A1A" w:rsidRDefault="59225FE2"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Interest Forecast 202</w:t>
            </w:r>
            <w:r w:rsidR="7D73B6BC" w:rsidRPr="00FC0A1A">
              <w:rPr>
                <w:rFonts w:eastAsia="Times New Roman" w:cs="Times New Roman"/>
                <w:b/>
                <w:bCs/>
                <w:color w:val="000000"/>
                <w:kern w:val="0"/>
                <w:sz w:val="20"/>
                <w:szCs w:val="20"/>
                <w:lang w:eastAsia="en-GB"/>
                <w14:ligatures w14:val="none"/>
              </w:rPr>
              <w:t>7</w:t>
            </w:r>
            <w:r w:rsidRPr="00FC0A1A">
              <w:rPr>
                <w:rFonts w:eastAsia="Times New Roman" w:cs="Times New Roman"/>
                <w:b/>
                <w:bCs/>
                <w:color w:val="000000"/>
                <w:kern w:val="0"/>
                <w:sz w:val="20"/>
                <w:szCs w:val="20"/>
                <w:lang w:eastAsia="en-GB"/>
                <w14:ligatures w14:val="none"/>
              </w:rPr>
              <w:t>/2</w:t>
            </w:r>
            <w:r w:rsidR="2FA3105C" w:rsidRPr="00FC0A1A">
              <w:rPr>
                <w:rFonts w:eastAsia="Times New Roman" w:cs="Times New Roman"/>
                <w:b/>
                <w:bCs/>
                <w:color w:val="000000"/>
                <w:kern w:val="0"/>
                <w:sz w:val="20"/>
                <w:szCs w:val="20"/>
                <w:lang w:eastAsia="en-GB"/>
                <w14:ligatures w14:val="none"/>
              </w:rPr>
              <w:t>8</w:t>
            </w:r>
          </w:p>
        </w:tc>
        <w:tc>
          <w:tcPr>
            <w:tcW w:w="1134" w:type="dxa"/>
            <w:tcBorders>
              <w:top w:val="single" w:sz="12" w:space="0" w:color="auto"/>
              <w:left w:val="nil"/>
              <w:bottom w:val="nil"/>
              <w:right w:val="single" w:sz="4" w:space="0" w:color="auto"/>
            </w:tcBorders>
            <w:shd w:val="clear" w:color="auto" w:fill="E8E8E8"/>
            <w:hideMark/>
          </w:tcPr>
          <w:p w14:paraId="4689C82E" w14:textId="60BE69CA" w:rsidR="00FC0A1A" w:rsidRPr="00FC0A1A" w:rsidRDefault="59225FE2"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Interest Forecast 202</w:t>
            </w:r>
            <w:r w:rsidR="68F54720" w:rsidRPr="00FC0A1A">
              <w:rPr>
                <w:rFonts w:eastAsia="Times New Roman" w:cs="Times New Roman"/>
                <w:b/>
                <w:bCs/>
                <w:color w:val="000000"/>
                <w:kern w:val="0"/>
                <w:sz w:val="20"/>
                <w:szCs w:val="20"/>
                <w:lang w:eastAsia="en-GB"/>
                <w14:ligatures w14:val="none"/>
              </w:rPr>
              <w:t>8</w:t>
            </w:r>
            <w:r w:rsidRPr="00FC0A1A">
              <w:rPr>
                <w:rFonts w:eastAsia="Times New Roman" w:cs="Times New Roman"/>
                <w:b/>
                <w:bCs/>
                <w:color w:val="000000"/>
                <w:kern w:val="0"/>
                <w:sz w:val="20"/>
                <w:szCs w:val="20"/>
                <w:lang w:eastAsia="en-GB"/>
                <w14:ligatures w14:val="none"/>
              </w:rPr>
              <w:t>/2</w:t>
            </w:r>
            <w:r w:rsidR="21CCCD8C" w:rsidRPr="00FC0A1A">
              <w:rPr>
                <w:rFonts w:eastAsia="Times New Roman" w:cs="Times New Roman"/>
                <w:b/>
                <w:bCs/>
                <w:color w:val="000000"/>
                <w:kern w:val="0"/>
                <w:sz w:val="20"/>
                <w:szCs w:val="20"/>
                <w:lang w:eastAsia="en-GB"/>
                <w14:ligatures w14:val="none"/>
              </w:rPr>
              <w:t>9</w:t>
            </w:r>
          </w:p>
        </w:tc>
        <w:tc>
          <w:tcPr>
            <w:tcW w:w="1134" w:type="dxa"/>
            <w:tcBorders>
              <w:top w:val="single" w:sz="12" w:space="0" w:color="auto"/>
              <w:left w:val="single" w:sz="4" w:space="0" w:color="auto"/>
              <w:bottom w:val="nil"/>
              <w:right w:val="single" w:sz="12" w:space="0" w:color="auto"/>
            </w:tcBorders>
            <w:shd w:val="clear" w:color="auto" w:fill="E8E8E8"/>
            <w:hideMark/>
          </w:tcPr>
          <w:p w14:paraId="2ED15D7D" w14:textId="75C0A2A0" w:rsidR="00FC0A1A" w:rsidRPr="00FC0A1A" w:rsidRDefault="59225FE2"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Interest Forecast 202</w:t>
            </w:r>
            <w:r w:rsidR="3DB79E1E" w:rsidRPr="00FC0A1A">
              <w:rPr>
                <w:rFonts w:eastAsia="Times New Roman" w:cs="Times New Roman"/>
                <w:b/>
                <w:bCs/>
                <w:color w:val="000000"/>
                <w:kern w:val="0"/>
                <w:sz w:val="20"/>
                <w:szCs w:val="20"/>
                <w:lang w:eastAsia="en-GB"/>
                <w14:ligatures w14:val="none"/>
              </w:rPr>
              <w:t>9</w:t>
            </w:r>
            <w:r w:rsidRPr="00FC0A1A">
              <w:rPr>
                <w:rFonts w:eastAsia="Times New Roman" w:cs="Times New Roman"/>
                <w:b/>
                <w:bCs/>
                <w:color w:val="000000"/>
                <w:kern w:val="0"/>
                <w:sz w:val="20"/>
                <w:szCs w:val="20"/>
                <w:lang w:eastAsia="en-GB"/>
                <w14:ligatures w14:val="none"/>
              </w:rPr>
              <w:t>/</w:t>
            </w:r>
            <w:r w:rsidR="23FC70FB" w:rsidRPr="00FC0A1A">
              <w:rPr>
                <w:rFonts w:eastAsia="Times New Roman" w:cs="Times New Roman"/>
                <w:b/>
                <w:bCs/>
                <w:color w:val="000000"/>
                <w:kern w:val="0"/>
                <w:sz w:val="20"/>
                <w:szCs w:val="20"/>
                <w:lang w:eastAsia="en-GB"/>
                <w14:ligatures w14:val="none"/>
              </w:rPr>
              <w:t>30</w:t>
            </w:r>
          </w:p>
        </w:tc>
      </w:tr>
      <w:tr w:rsidR="00F1210E" w:rsidRPr="00FC0A1A" w14:paraId="482BFCF5" w14:textId="77777777" w:rsidTr="7DC21327">
        <w:trPr>
          <w:trHeight w:val="70"/>
        </w:trPr>
        <w:tc>
          <w:tcPr>
            <w:tcW w:w="2891" w:type="dxa"/>
            <w:tcBorders>
              <w:top w:val="nil"/>
              <w:left w:val="single" w:sz="12" w:space="0" w:color="auto"/>
              <w:bottom w:val="single" w:sz="12" w:space="0" w:color="auto"/>
              <w:right w:val="single" w:sz="4" w:space="0" w:color="auto"/>
            </w:tcBorders>
            <w:shd w:val="clear" w:color="auto" w:fill="E8E8E8"/>
            <w:noWrap/>
            <w:vAlign w:val="bottom"/>
            <w:hideMark/>
          </w:tcPr>
          <w:p w14:paraId="5951961B" w14:textId="77777777" w:rsidR="00FC0A1A" w:rsidRPr="00FC0A1A" w:rsidRDefault="00FC0A1A" w:rsidP="00FC0A1A">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 </w:t>
            </w:r>
          </w:p>
        </w:tc>
        <w:tc>
          <w:tcPr>
            <w:tcW w:w="2041" w:type="dxa"/>
            <w:tcBorders>
              <w:top w:val="nil"/>
              <w:left w:val="nil"/>
              <w:bottom w:val="single" w:sz="12" w:space="0" w:color="auto"/>
              <w:right w:val="single" w:sz="12" w:space="0" w:color="auto"/>
            </w:tcBorders>
            <w:shd w:val="clear" w:color="auto" w:fill="E8E8E8"/>
            <w:noWrap/>
            <w:vAlign w:val="bottom"/>
            <w:hideMark/>
          </w:tcPr>
          <w:p w14:paraId="29F87841" w14:textId="77777777" w:rsidR="00FC0A1A" w:rsidRPr="00FC0A1A" w:rsidRDefault="00FC0A1A"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£'000</w:t>
            </w:r>
          </w:p>
        </w:tc>
        <w:tc>
          <w:tcPr>
            <w:tcW w:w="1134" w:type="dxa"/>
            <w:tcBorders>
              <w:top w:val="nil"/>
              <w:left w:val="nil"/>
              <w:bottom w:val="single" w:sz="12" w:space="0" w:color="auto"/>
              <w:right w:val="single" w:sz="4" w:space="0" w:color="auto"/>
            </w:tcBorders>
            <w:shd w:val="clear" w:color="auto" w:fill="E8E8E8"/>
            <w:noWrap/>
            <w:vAlign w:val="bottom"/>
            <w:hideMark/>
          </w:tcPr>
          <w:p w14:paraId="3C2A256A" w14:textId="77777777" w:rsidR="00FC0A1A" w:rsidRPr="00FC0A1A" w:rsidRDefault="00FC0A1A"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£'000</w:t>
            </w:r>
          </w:p>
        </w:tc>
        <w:tc>
          <w:tcPr>
            <w:tcW w:w="1134" w:type="dxa"/>
            <w:tcBorders>
              <w:top w:val="nil"/>
              <w:left w:val="nil"/>
              <w:bottom w:val="single" w:sz="12" w:space="0" w:color="auto"/>
              <w:right w:val="single" w:sz="4" w:space="0" w:color="auto"/>
            </w:tcBorders>
            <w:shd w:val="clear" w:color="auto" w:fill="E8E8E8"/>
            <w:noWrap/>
            <w:vAlign w:val="bottom"/>
            <w:hideMark/>
          </w:tcPr>
          <w:p w14:paraId="37EA1825" w14:textId="77777777" w:rsidR="00FC0A1A" w:rsidRPr="00FC0A1A" w:rsidRDefault="00FC0A1A"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£'000</w:t>
            </w:r>
          </w:p>
        </w:tc>
        <w:tc>
          <w:tcPr>
            <w:tcW w:w="1134" w:type="dxa"/>
            <w:tcBorders>
              <w:top w:val="nil"/>
              <w:left w:val="nil"/>
              <w:bottom w:val="single" w:sz="12" w:space="0" w:color="auto"/>
              <w:right w:val="single" w:sz="4" w:space="0" w:color="auto"/>
            </w:tcBorders>
            <w:shd w:val="clear" w:color="auto" w:fill="E8E8E8"/>
            <w:noWrap/>
            <w:vAlign w:val="bottom"/>
            <w:hideMark/>
          </w:tcPr>
          <w:p w14:paraId="2AAD059B" w14:textId="77777777" w:rsidR="00FC0A1A" w:rsidRPr="00FC0A1A" w:rsidRDefault="00FC0A1A"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£'000</w:t>
            </w:r>
          </w:p>
        </w:tc>
        <w:tc>
          <w:tcPr>
            <w:tcW w:w="1134" w:type="dxa"/>
            <w:tcBorders>
              <w:top w:val="nil"/>
              <w:left w:val="nil"/>
              <w:bottom w:val="single" w:sz="12" w:space="0" w:color="auto"/>
              <w:right w:val="single" w:sz="12" w:space="0" w:color="auto"/>
            </w:tcBorders>
            <w:shd w:val="clear" w:color="auto" w:fill="E8E8E8"/>
            <w:noWrap/>
            <w:vAlign w:val="bottom"/>
            <w:hideMark/>
          </w:tcPr>
          <w:p w14:paraId="4ABCCDB2" w14:textId="77777777" w:rsidR="00FC0A1A" w:rsidRPr="00FC0A1A" w:rsidRDefault="00FC0A1A" w:rsidP="00FC0A1A">
            <w:pPr>
              <w:jc w:val="cente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£'000</w:t>
            </w:r>
          </w:p>
        </w:tc>
      </w:tr>
      <w:tr w:rsidR="00F5751D" w:rsidRPr="00FC0A1A" w14:paraId="51689B02" w14:textId="77777777" w:rsidTr="7DC21327">
        <w:trPr>
          <w:trHeight w:val="30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5A940DEE" w14:textId="77777777" w:rsidR="00FC0A1A" w:rsidRPr="00FC0A1A" w:rsidRDefault="00FC0A1A" w:rsidP="00FC0A1A">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 </w:t>
            </w:r>
          </w:p>
        </w:tc>
        <w:tc>
          <w:tcPr>
            <w:tcW w:w="2041" w:type="dxa"/>
            <w:tcBorders>
              <w:top w:val="nil"/>
              <w:left w:val="nil"/>
              <w:bottom w:val="single" w:sz="4" w:space="0" w:color="auto"/>
              <w:right w:val="single" w:sz="12" w:space="0" w:color="auto"/>
            </w:tcBorders>
            <w:noWrap/>
            <w:vAlign w:val="bottom"/>
            <w:hideMark/>
          </w:tcPr>
          <w:p w14:paraId="7CE755DF" w14:textId="77777777" w:rsidR="00FC0A1A" w:rsidRPr="00FC0A1A" w:rsidRDefault="00FC0A1A" w:rsidP="00FC0A1A">
            <w:pPr>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 </w:t>
            </w:r>
          </w:p>
        </w:tc>
        <w:tc>
          <w:tcPr>
            <w:tcW w:w="1134" w:type="dxa"/>
            <w:tcBorders>
              <w:top w:val="nil"/>
              <w:left w:val="nil"/>
              <w:bottom w:val="single" w:sz="4" w:space="0" w:color="auto"/>
              <w:right w:val="single" w:sz="4" w:space="0" w:color="auto"/>
            </w:tcBorders>
            <w:noWrap/>
            <w:vAlign w:val="bottom"/>
            <w:hideMark/>
          </w:tcPr>
          <w:p w14:paraId="51D65A3A" w14:textId="77777777" w:rsidR="00FC0A1A" w:rsidRPr="00FC0A1A" w:rsidRDefault="00FC0A1A" w:rsidP="00FC0A1A">
            <w:pPr>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 </w:t>
            </w:r>
          </w:p>
        </w:tc>
        <w:tc>
          <w:tcPr>
            <w:tcW w:w="1134" w:type="dxa"/>
            <w:tcBorders>
              <w:top w:val="nil"/>
              <w:left w:val="single" w:sz="4" w:space="0" w:color="auto"/>
              <w:bottom w:val="single" w:sz="4" w:space="0" w:color="auto"/>
              <w:right w:val="single" w:sz="4" w:space="0" w:color="auto"/>
            </w:tcBorders>
            <w:noWrap/>
            <w:vAlign w:val="bottom"/>
            <w:hideMark/>
          </w:tcPr>
          <w:p w14:paraId="2750339F" w14:textId="77777777" w:rsidR="00FC0A1A" w:rsidRPr="00FC0A1A" w:rsidRDefault="00FC0A1A" w:rsidP="00FC0A1A">
            <w:pPr>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 </w:t>
            </w:r>
          </w:p>
        </w:tc>
        <w:tc>
          <w:tcPr>
            <w:tcW w:w="1134" w:type="dxa"/>
            <w:tcBorders>
              <w:top w:val="nil"/>
              <w:left w:val="nil"/>
              <w:bottom w:val="single" w:sz="4" w:space="0" w:color="auto"/>
              <w:right w:val="single" w:sz="4" w:space="0" w:color="auto"/>
            </w:tcBorders>
            <w:noWrap/>
            <w:vAlign w:val="bottom"/>
            <w:hideMark/>
          </w:tcPr>
          <w:p w14:paraId="4AD9185A" w14:textId="77777777" w:rsidR="00FC0A1A" w:rsidRPr="00FC0A1A" w:rsidRDefault="00FC0A1A" w:rsidP="00FC0A1A">
            <w:pPr>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 </w:t>
            </w:r>
          </w:p>
        </w:tc>
        <w:tc>
          <w:tcPr>
            <w:tcW w:w="1134" w:type="dxa"/>
            <w:tcBorders>
              <w:top w:val="nil"/>
              <w:left w:val="single" w:sz="4" w:space="0" w:color="auto"/>
              <w:bottom w:val="single" w:sz="4" w:space="0" w:color="auto"/>
              <w:right w:val="single" w:sz="12" w:space="0" w:color="auto"/>
            </w:tcBorders>
            <w:noWrap/>
            <w:vAlign w:val="bottom"/>
            <w:hideMark/>
          </w:tcPr>
          <w:p w14:paraId="05881A60" w14:textId="77777777" w:rsidR="00FC0A1A" w:rsidRPr="00FC0A1A" w:rsidRDefault="00FC0A1A" w:rsidP="00FC0A1A">
            <w:pPr>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 </w:t>
            </w:r>
          </w:p>
        </w:tc>
      </w:tr>
      <w:tr w:rsidR="00543FA4" w:rsidRPr="00FC0A1A" w14:paraId="62D654CA"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350F762A"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STDC Purchase CPO Land</w:t>
            </w:r>
          </w:p>
        </w:tc>
        <w:tc>
          <w:tcPr>
            <w:tcW w:w="2041" w:type="dxa"/>
            <w:tcBorders>
              <w:top w:val="nil"/>
              <w:left w:val="nil"/>
              <w:bottom w:val="single" w:sz="4" w:space="0" w:color="auto"/>
              <w:right w:val="single" w:sz="12" w:space="0" w:color="auto"/>
            </w:tcBorders>
            <w:noWrap/>
            <w:vAlign w:val="bottom"/>
            <w:hideMark/>
          </w:tcPr>
          <w:p w14:paraId="2D350C51"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51,526</w:t>
            </w:r>
          </w:p>
        </w:tc>
        <w:tc>
          <w:tcPr>
            <w:tcW w:w="1134" w:type="dxa"/>
            <w:tcBorders>
              <w:top w:val="nil"/>
              <w:left w:val="nil"/>
              <w:bottom w:val="single" w:sz="4" w:space="0" w:color="auto"/>
              <w:right w:val="single" w:sz="4" w:space="0" w:color="auto"/>
            </w:tcBorders>
            <w:noWrap/>
            <w:vAlign w:val="center"/>
            <w:hideMark/>
          </w:tcPr>
          <w:p w14:paraId="672637D8" w14:textId="45DF8409"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1,803</w:t>
            </w:r>
          </w:p>
        </w:tc>
        <w:tc>
          <w:tcPr>
            <w:tcW w:w="1134" w:type="dxa"/>
            <w:tcBorders>
              <w:top w:val="nil"/>
              <w:left w:val="single" w:sz="4" w:space="0" w:color="auto"/>
              <w:bottom w:val="single" w:sz="4" w:space="0" w:color="auto"/>
              <w:right w:val="single" w:sz="4" w:space="0" w:color="auto"/>
            </w:tcBorders>
            <w:noWrap/>
            <w:vAlign w:val="center"/>
            <w:hideMark/>
          </w:tcPr>
          <w:p w14:paraId="4039510E" w14:textId="6992C53A"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1,872</w:t>
            </w:r>
          </w:p>
        </w:tc>
        <w:tc>
          <w:tcPr>
            <w:tcW w:w="1134" w:type="dxa"/>
            <w:tcBorders>
              <w:top w:val="nil"/>
              <w:left w:val="nil"/>
              <w:bottom w:val="single" w:sz="4" w:space="0" w:color="auto"/>
              <w:right w:val="single" w:sz="4" w:space="0" w:color="auto"/>
            </w:tcBorders>
            <w:noWrap/>
            <w:vAlign w:val="center"/>
            <w:hideMark/>
          </w:tcPr>
          <w:p w14:paraId="71E75C07" w14:textId="60B93978"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1,927</w:t>
            </w:r>
          </w:p>
        </w:tc>
        <w:tc>
          <w:tcPr>
            <w:tcW w:w="1134" w:type="dxa"/>
            <w:tcBorders>
              <w:top w:val="nil"/>
              <w:left w:val="single" w:sz="4" w:space="0" w:color="auto"/>
              <w:bottom w:val="single" w:sz="4" w:space="0" w:color="auto"/>
              <w:right w:val="single" w:sz="12" w:space="0" w:color="auto"/>
            </w:tcBorders>
            <w:noWrap/>
            <w:vAlign w:val="center"/>
            <w:hideMark/>
          </w:tcPr>
          <w:p w14:paraId="53C25F7E" w14:textId="41630B22"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1,999</w:t>
            </w:r>
          </w:p>
        </w:tc>
      </w:tr>
      <w:tr w:rsidR="00543FA4" w:rsidRPr="00FC0A1A" w14:paraId="3EBC1E6A"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537FB86D"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STDC Remediation 22/23</w:t>
            </w:r>
          </w:p>
        </w:tc>
        <w:tc>
          <w:tcPr>
            <w:tcW w:w="2041" w:type="dxa"/>
            <w:tcBorders>
              <w:top w:val="nil"/>
              <w:left w:val="nil"/>
              <w:bottom w:val="single" w:sz="4" w:space="0" w:color="auto"/>
              <w:right w:val="single" w:sz="12" w:space="0" w:color="auto"/>
            </w:tcBorders>
            <w:noWrap/>
            <w:vAlign w:val="bottom"/>
            <w:hideMark/>
          </w:tcPr>
          <w:p w14:paraId="65D30EC7"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85,925</w:t>
            </w:r>
          </w:p>
        </w:tc>
        <w:tc>
          <w:tcPr>
            <w:tcW w:w="1134" w:type="dxa"/>
            <w:tcBorders>
              <w:top w:val="nil"/>
              <w:left w:val="nil"/>
              <w:bottom w:val="single" w:sz="4" w:space="0" w:color="auto"/>
              <w:right w:val="single" w:sz="4" w:space="0" w:color="auto"/>
            </w:tcBorders>
            <w:noWrap/>
            <w:vAlign w:val="center"/>
            <w:hideMark/>
          </w:tcPr>
          <w:p w14:paraId="6CEAD8AF" w14:textId="4533F8CD"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3,438</w:t>
            </w:r>
          </w:p>
        </w:tc>
        <w:tc>
          <w:tcPr>
            <w:tcW w:w="1134" w:type="dxa"/>
            <w:tcBorders>
              <w:top w:val="nil"/>
              <w:left w:val="single" w:sz="4" w:space="0" w:color="auto"/>
              <w:bottom w:val="single" w:sz="4" w:space="0" w:color="auto"/>
              <w:right w:val="single" w:sz="4" w:space="0" w:color="auto"/>
            </w:tcBorders>
            <w:noWrap/>
            <w:vAlign w:val="center"/>
            <w:hideMark/>
          </w:tcPr>
          <w:p w14:paraId="08879D1A" w14:textId="2D0B95E9"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3,585</w:t>
            </w:r>
          </w:p>
        </w:tc>
        <w:tc>
          <w:tcPr>
            <w:tcW w:w="1134" w:type="dxa"/>
            <w:tcBorders>
              <w:top w:val="nil"/>
              <w:left w:val="nil"/>
              <w:bottom w:val="single" w:sz="4" w:space="0" w:color="auto"/>
              <w:right w:val="single" w:sz="4" w:space="0" w:color="auto"/>
            </w:tcBorders>
            <w:noWrap/>
            <w:vAlign w:val="center"/>
            <w:hideMark/>
          </w:tcPr>
          <w:p w14:paraId="55A294BC" w14:textId="249446CC"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3,706</w:t>
            </w:r>
          </w:p>
        </w:tc>
        <w:tc>
          <w:tcPr>
            <w:tcW w:w="1134" w:type="dxa"/>
            <w:tcBorders>
              <w:top w:val="nil"/>
              <w:left w:val="single" w:sz="4" w:space="0" w:color="auto"/>
              <w:bottom w:val="single" w:sz="4" w:space="0" w:color="auto"/>
              <w:right w:val="single" w:sz="12" w:space="0" w:color="auto"/>
            </w:tcBorders>
            <w:noWrap/>
            <w:vAlign w:val="center"/>
            <w:hideMark/>
          </w:tcPr>
          <w:p w14:paraId="5930C32B" w14:textId="50B68D37"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3,860</w:t>
            </w:r>
          </w:p>
        </w:tc>
      </w:tr>
      <w:tr w:rsidR="00543FA4" w:rsidRPr="00FC0A1A" w14:paraId="59B2F13D"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51E7A186"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STDC Remediation 23/24</w:t>
            </w:r>
          </w:p>
        </w:tc>
        <w:tc>
          <w:tcPr>
            <w:tcW w:w="2041" w:type="dxa"/>
            <w:tcBorders>
              <w:top w:val="nil"/>
              <w:left w:val="nil"/>
              <w:bottom w:val="single" w:sz="4" w:space="0" w:color="auto"/>
              <w:right w:val="single" w:sz="12" w:space="0" w:color="auto"/>
            </w:tcBorders>
            <w:noWrap/>
            <w:vAlign w:val="bottom"/>
            <w:hideMark/>
          </w:tcPr>
          <w:p w14:paraId="3E2C636D"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77,030</w:t>
            </w:r>
          </w:p>
        </w:tc>
        <w:tc>
          <w:tcPr>
            <w:tcW w:w="1134" w:type="dxa"/>
            <w:tcBorders>
              <w:top w:val="nil"/>
              <w:left w:val="nil"/>
              <w:bottom w:val="single" w:sz="4" w:space="0" w:color="auto"/>
              <w:right w:val="single" w:sz="4" w:space="0" w:color="auto"/>
            </w:tcBorders>
            <w:noWrap/>
            <w:vAlign w:val="center"/>
            <w:hideMark/>
          </w:tcPr>
          <w:p w14:paraId="47EF2CF5" w14:textId="6BF256DB"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3,597</w:t>
            </w:r>
          </w:p>
        </w:tc>
        <w:tc>
          <w:tcPr>
            <w:tcW w:w="1134" w:type="dxa"/>
            <w:tcBorders>
              <w:top w:val="nil"/>
              <w:left w:val="single" w:sz="4" w:space="0" w:color="auto"/>
              <w:bottom w:val="single" w:sz="4" w:space="0" w:color="auto"/>
              <w:right w:val="single" w:sz="4" w:space="0" w:color="auto"/>
            </w:tcBorders>
            <w:noWrap/>
            <w:vAlign w:val="center"/>
            <w:hideMark/>
          </w:tcPr>
          <w:p w14:paraId="3D9C7D1C" w14:textId="193464A5"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3,776</w:t>
            </w:r>
          </w:p>
        </w:tc>
        <w:tc>
          <w:tcPr>
            <w:tcW w:w="1134" w:type="dxa"/>
            <w:tcBorders>
              <w:top w:val="nil"/>
              <w:left w:val="nil"/>
              <w:bottom w:val="single" w:sz="4" w:space="0" w:color="auto"/>
              <w:right w:val="single" w:sz="4" w:space="0" w:color="auto"/>
            </w:tcBorders>
            <w:noWrap/>
            <w:vAlign w:val="center"/>
            <w:hideMark/>
          </w:tcPr>
          <w:p w14:paraId="3778674D" w14:textId="1D5DAF11"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3,931</w:t>
            </w:r>
          </w:p>
        </w:tc>
        <w:tc>
          <w:tcPr>
            <w:tcW w:w="1134" w:type="dxa"/>
            <w:tcBorders>
              <w:top w:val="nil"/>
              <w:left w:val="single" w:sz="4" w:space="0" w:color="auto"/>
              <w:bottom w:val="single" w:sz="4" w:space="0" w:color="auto"/>
              <w:right w:val="single" w:sz="12" w:space="0" w:color="auto"/>
            </w:tcBorders>
            <w:noWrap/>
            <w:vAlign w:val="center"/>
            <w:hideMark/>
          </w:tcPr>
          <w:p w14:paraId="211FBD6E" w14:textId="7EE4AA27"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4,125</w:t>
            </w:r>
          </w:p>
        </w:tc>
      </w:tr>
      <w:tr w:rsidR="00543FA4" w:rsidRPr="00FC0A1A" w14:paraId="1BAB1425"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40DD878E"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STDC Heavy Lift</w:t>
            </w:r>
          </w:p>
        </w:tc>
        <w:tc>
          <w:tcPr>
            <w:tcW w:w="2041" w:type="dxa"/>
            <w:tcBorders>
              <w:top w:val="nil"/>
              <w:left w:val="nil"/>
              <w:bottom w:val="single" w:sz="4" w:space="0" w:color="auto"/>
              <w:right w:val="single" w:sz="12" w:space="0" w:color="auto"/>
            </w:tcBorders>
            <w:noWrap/>
            <w:vAlign w:val="bottom"/>
            <w:hideMark/>
          </w:tcPr>
          <w:p w14:paraId="0DA616A0"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7,115</w:t>
            </w:r>
          </w:p>
        </w:tc>
        <w:tc>
          <w:tcPr>
            <w:tcW w:w="1134" w:type="dxa"/>
            <w:tcBorders>
              <w:top w:val="nil"/>
              <w:left w:val="nil"/>
              <w:bottom w:val="single" w:sz="4" w:space="0" w:color="auto"/>
              <w:right w:val="single" w:sz="4" w:space="0" w:color="auto"/>
            </w:tcBorders>
            <w:noWrap/>
            <w:vAlign w:val="center"/>
            <w:hideMark/>
          </w:tcPr>
          <w:p w14:paraId="37BEA8E7" w14:textId="057C66C8"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329</w:t>
            </w:r>
          </w:p>
        </w:tc>
        <w:tc>
          <w:tcPr>
            <w:tcW w:w="1134" w:type="dxa"/>
            <w:tcBorders>
              <w:top w:val="nil"/>
              <w:left w:val="single" w:sz="4" w:space="0" w:color="auto"/>
              <w:bottom w:val="single" w:sz="4" w:space="0" w:color="auto"/>
              <w:right w:val="single" w:sz="4" w:space="0" w:color="auto"/>
            </w:tcBorders>
            <w:noWrap/>
            <w:vAlign w:val="center"/>
            <w:hideMark/>
          </w:tcPr>
          <w:p w14:paraId="28628946" w14:textId="11C37D1E"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346</w:t>
            </w:r>
          </w:p>
        </w:tc>
        <w:tc>
          <w:tcPr>
            <w:tcW w:w="1134" w:type="dxa"/>
            <w:tcBorders>
              <w:top w:val="nil"/>
              <w:left w:val="nil"/>
              <w:bottom w:val="single" w:sz="4" w:space="0" w:color="auto"/>
              <w:right w:val="single" w:sz="4" w:space="0" w:color="auto"/>
            </w:tcBorders>
            <w:noWrap/>
            <w:vAlign w:val="center"/>
            <w:hideMark/>
          </w:tcPr>
          <w:p w14:paraId="673916B9" w14:textId="085B4EBB"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360</w:t>
            </w:r>
          </w:p>
        </w:tc>
        <w:tc>
          <w:tcPr>
            <w:tcW w:w="1134" w:type="dxa"/>
            <w:tcBorders>
              <w:top w:val="nil"/>
              <w:left w:val="single" w:sz="4" w:space="0" w:color="auto"/>
              <w:bottom w:val="single" w:sz="4" w:space="0" w:color="auto"/>
              <w:right w:val="single" w:sz="12" w:space="0" w:color="auto"/>
            </w:tcBorders>
            <w:noWrap/>
            <w:vAlign w:val="center"/>
            <w:hideMark/>
          </w:tcPr>
          <w:p w14:paraId="14299E50" w14:textId="2CE0B51F"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407</w:t>
            </w:r>
          </w:p>
        </w:tc>
      </w:tr>
      <w:tr w:rsidR="00543FA4" w:rsidRPr="00FC0A1A" w14:paraId="67F7FF42"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0D3081F2"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STDC NZT 24/25</w:t>
            </w:r>
          </w:p>
        </w:tc>
        <w:tc>
          <w:tcPr>
            <w:tcW w:w="2041" w:type="dxa"/>
            <w:tcBorders>
              <w:top w:val="nil"/>
              <w:left w:val="nil"/>
              <w:bottom w:val="single" w:sz="4" w:space="0" w:color="auto"/>
              <w:right w:val="single" w:sz="12" w:space="0" w:color="auto"/>
            </w:tcBorders>
            <w:noWrap/>
            <w:vAlign w:val="bottom"/>
            <w:hideMark/>
          </w:tcPr>
          <w:p w14:paraId="18F5E4BA"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12,341</w:t>
            </w:r>
          </w:p>
        </w:tc>
        <w:tc>
          <w:tcPr>
            <w:tcW w:w="1134" w:type="dxa"/>
            <w:tcBorders>
              <w:top w:val="nil"/>
              <w:left w:val="nil"/>
              <w:bottom w:val="single" w:sz="4" w:space="0" w:color="auto"/>
              <w:right w:val="single" w:sz="4" w:space="0" w:color="auto"/>
            </w:tcBorders>
            <w:noWrap/>
            <w:vAlign w:val="center"/>
            <w:hideMark/>
          </w:tcPr>
          <w:p w14:paraId="2C5475CF" w14:textId="357D60D1"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586</w:t>
            </w:r>
          </w:p>
        </w:tc>
        <w:tc>
          <w:tcPr>
            <w:tcW w:w="1134" w:type="dxa"/>
            <w:tcBorders>
              <w:top w:val="nil"/>
              <w:left w:val="single" w:sz="4" w:space="0" w:color="auto"/>
              <w:bottom w:val="single" w:sz="4" w:space="0" w:color="auto"/>
              <w:right w:val="single" w:sz="4" w:space="0" w:color="auto"/>
            </w:tcBorders>
            <w:noWrap/>
            <w:vAlign w:val="center"/>
            <w:hideMark/>
          </w:tcPr>
          <w:p w14:paraId="3F384F8E" w14:textId="382A4CE7"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616</w:t>
            </w:r>
          </w:p>
        </w:tc>
        <w:tc>
          <w:tcPr>
            <w:tcW w:w="1134" w:type="dxa"/>
            <w:tcBorders>
              <w:top w:val="nil"/>
              <w:left w:val="nil"/>
              <w:bottom w:val="single" w:sz="4" w:space="0" w:color="auto"/>
              <w:right w:val="single" w:sz="4" w:space="0" w:color="auto"/>
            </w:tcBorders>
            <w:noWrap/>
            <w:vAlign w:val="center"/>
            <w:hideMark/>
          </w:tcPr>
          <w:p w14:paraId="6E50CDC1" w14:textId="0B9DCB18"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642</w:t>
            </w:r>
          </w:p>
        </w:tc>
        <w:tc>
          <w:tcPr>
            <w:tcW w:w="1134" w:type="dxa"/>
            <w:tcBorders>
              <w:top w:val="nil"/>
              <w:left w:val="single" w:sz="4" w:space="0" w:color="auto"/>
              <w:bottom w:val="single" w:sz="4" w:space="0" w:color="auto"/>
              <w:right w:val="single" w:sz="12" w:space="0" w:color="auto"/>
            </w:tcBorders>
            <w:noWrap/>
            <w:vAlign w:val="center"/>
            <w:hideMark/>
          </w:tcPr>
          <w:p w14:paraId="2CF256C8" w14:textId="710ACC4E"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674</w:t>
            </w:r>
          </w:p>
        </w:tc>
      </w:tr>
      <w:tr w:rsidR="00543FA4" w:rsidRPr="00FC0A1A" w14:paraId="14CB5C83"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3008878E"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STDC Remediation 24/25</w:t>
            </w:r>
          </w:p>
        </w:tc>
        <w:tc>
          <w:tcPr>
            <w:tcW w:w="2041" w:type="dxa"/>
            <w:tcBorders>
              <w:top w:val="nil"/>
              <w:left w:val="nil"/>
              <w:bottom w:val="single" w:sz="4" w:space="0" w:color="auto"/>
              <w:right w:val="single" w:sz="12" w:space="0" w:color="auto"/>
            </w:tcBorders>
            <w:noWrap/>
            <w:vAlign w:val="bottom"/>
            <w:hideMark/>
          </w:tcPr>
          <w:p w14:paraId="524520BC"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49,496</w:t>
            </w:r>
          </w:p>
        </w:tc>
        <w:tc>
          <w:tcPr>
            <w:tcW w:w="1134" w:type="dxa"/>
            <w:tcBorders>
              <w:top w:val="nil"/>
              <w:left w:val="nil"/>
              <w:bottom w:val="single" w:sz="4" w:space="0" w:color="auto"/>
              <w:right w:val="single" w:sz="4" w:space="0" w:color="auto"/>
            </w:tcBorders>
            <w:noWrap/>
            <w:vAlign w:val="center"/>
            <w:hideMark/>
          </w:tcPr>
          <w:p w14:paraId="4105B772" w14:textId="075329B8"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2,351</w:t>
            </w:r>
          </w:p>
        </w:tc>
        <w:tc>
          <w:tcPr>
            <w:tcW w:w="1134" w:type="dxa"/>
            <w:tcBorders>
              <w:top w:val="nil"/>
              <w:left w:val="single" w:sz="4" w:space="0" w:color="auto"/>
              <w:bottom w:val="single" w:sz="4" w:space="0" w:color="auto"/>
              <w:right w:val="single" w:sz="4" w:space="0" w:color="auto"/>
            </w:tcBorders>
            <w:noWrap/>
            <w:vAlign w:val="center"/>
            <w:hideMark/>
          </w:tcPr>
          <w:p w14:paraId="135B6084" w14:textId="3063D251"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2,469</w:t>
            </w:r>
          </w:p>
        </w:tc>
        <w:tc>
          <w:tcPr>
            <w:tcW w:w="1134" w:type="dxa"/>
            <w:tcBorders>
              <w:top w:val="nil"/>
              <w:left w:val="nil"/>
              <w:bottom w:val="single" w:sz="4" w:space="0" w:color="auto"/>
              <w:right w:val="single" w:sz="4" w:space="0" w:color="auto"/>
            </w:tcBorders>
            <w:noWrap/>
            <w:vAlign w:val="center"/>
            <w:hideMark/>
          </w:tcPr>
          <w:p w14:paraId="33926219" w14:textId="02A7E0FB"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2,573</w:t>
            </w:r>
          </w:p>
        </w:tc>
        <w:tc>
          <w:tcPr>
            <w:tcW w:w="1134" w:type="dxa"/>
            <w:tcBorders>
              <w:top w:val="nil"/>
              <w:left w:val="single" w:sz="4" w:space="0" w:color="auto"/>
              <w:bottom w:val="single" w:sz="4" w:space="0" w:color="auto"/>
              <w:right w:val="single" w:sz="12" w:space="0" w:color="auto"/>
            </w:tcBorders>
            <w:noWrap/>
            <w:vAlign w:val="center"/>
            <w:hideMark/>
          </w:tcPr>
          <w:p w14:paraId="11CA3120" w14:textId="199ECA87"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2,702</w:t>
            </w:r>
          </w:p>
        </w:tc>
      </w:tr>
      <w:tr w:rsidR="00543FA4" w:rsidRPr="00FC0A1A" w14:paraId="38825FB3"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58A8D6CB"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STDC Quay</w:t>
            </w:r>
          </w:p>
        </w:tc>
        <w:tc>
          <w:tcPr>
            <w:tcW w:w="2041" w:type="dxa"/>
            <w:tcBorders>
              <w:top w:val="nil"/>
              <w:left w:val="nil"/>
              <w:bottom w:val="single" w:sz="4" w:space="0" w:color="auto"/>
              <w:right w:val="single" w:sz="12" w:space="0" w:color="auto"/>
            </w:tcBorders>
            <w:noWrap/>
            <w:vAlign w:val="bottom"/>
            <w:hideMark/>
          </w:tcPr>
          <w:p w14:paraId="60451557"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108,222</w:t>
            </w:r>
          </w:p>
        </w:tc>
        <w:tc>
          <w:tcPr>
            <w:tcW w:w="1134" w:type="dxa"/>
            <w:tcBorders>
              <w:top w:val="nil"/>
              <w:left w:val="nil"/>
              <w:bottom w:val="single" w:sz="4" w:space="0" w:color="auto"/>
              <w:right w:val="single" w:sz="4" w:space="0" w:color="auto"/>
            </w:tcBorders>
            <w:noWrap/>
            <w:vAlign w:val="center"/>
            <w:hideMark/>
          </w:tcPr>
          <w:p w14:paraId="5550A483" w14:textId="68790D24"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2,146</w:t>
            </w:r>
          </w:p>
        </w:tc>
        <w:tc>
          <w:tcPr>
            <w:tcW w:w="1134" w:type="dxa"/>
            <w:tcBorders>
              <w:top w:val="nil"/>
              <w:left w:val="single" w:sz="4" w:space="0" w:color="auto"/>
              <w:bottom w:val="single" w:sz="4" w:space="0" w:color="auto"/>
              <w:right w:val="single" w:sz="4" w:space="0" w:color="auto"/>
            </w:tcBorders>
            <w:noWrap/>
            <w:vAlign w:val="center"/>
            <w:hideMark/>
          </w:tcPr>
          <w:p w14:paraId="11C423BD" w14:textId="42409AA9"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2,117</w:t>
            </w:r>
          </w:p>
        </w:tc>
        <w:tc>
          <w:tcPr>
            <w:tcW w:w="1134" w:type="dxa"/>
            <w:tcBorders>
              <w:top w:val="nil"/>
              <w:left w:val="nil"/>
              <w:bottom w:val="single" w:sz="4" w:space="0" w:color="auto"/>
              <w:right w:val="single" w:sz="4" w:space="0" w:color="auto"/>
            </w:tcBorders>
            <w:noWrap/>
            <w:vAlign w:val="center"/>
            <w:hideMark/>
          </w:tcPr>
          <w:p w14:paraId="2C9BBD96" w14:textId="3CD3EC13"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2,088</w:t>
            </w:r>
          </w:p>
        </w:tc>
        <w:tc>
          <w:tcPr>
            <w:tcW w:w="1134" w:type="dxa"/>
            <w:tcBorders>
              <w:top w:val="nil"/>
              <w:left w:val="single" w:sz="4" w:space="0" w:color="auto"/>
              <w:bottom w:val="single" w:sz="4" w:space="0" w:color="auto"/>
              <w:right w:val="single" w:sz="12" w:space="0" w:color="auto"/>
            </w:tcBorders>
            <w:noWrap/>
            <w:vAlign w:val="center"/>
            <w:hideMark/>
          </w:tcPr>
          <w:p w14:paraId="6DC4F89C" w14:textId="1164AFA1"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2,057</w:t>
            </w:r>
          </w:p>
        </w:tc>
      </w:tr>
      <w:tr w:rsidR="00543FA4" w:rsidRPr="00FC0A1A" w14:paraId="13B4B083"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7C9E2692"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TeesAMP-Loan</w:t>
            </w:r>
          </w:p>
        </w:tc>
        <w:tc>
          <w:tcPr>
            <w:tcW w:w="2041" w:type="dxa"/>
            <w:tcBorders>
              <w:top w:val="nil"/>
              <w:left w:val="nil"/>
              <w:bottom w:val="single" w:sz="4" w:space="0" w:color="auto"/>
              <w:right w:val="single" w:sz="12" w:space="0" w:color="auto"/>
            </w:tcBorders>
            <w:noWrap/>
            <w:vAlign w:val="bottom"/>
            <w:hideMark/>
          </w:tcPr>
          <w:p w14:paraId="5A3AB95B"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2,138</w:t>
            </w:r>
          </w:p>
        </w:tc>
        <w:tc>
          <w:tcPr>
            <w:tcW w:w="1134" w:type="dxa"/>
            <w:tcBorders>
              <w:top w:val="nil"/>
              <w:left w:val="nil"/>
              <w:bottom w:val="single" w:sz="4" w:space="0" w:color="auto"/>
              <w:right w:val="single" w:sz="4" w:space="0" w:color="auto"/>
            </w:tcBorders>
            <w:noWrap/>
            <w:vAlign w:val="center"/>
            <w:hideMark/>
          </w:tcPr>
          <w:p w14:paraId="19E5BDE4" w14:textId="7C0B3013"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30</w:t>
            </w:r>
          </w:p>
        </w:tc>
        <w:tc>
          <w:tcPr>
            <w:tcW w:w="1134" w:type="dxa"/>
            <w:tcBorders>
              <w:top w:val="nil"/>
              <w:left w:val="single" w:sz="4" w:space="0" w:color="auto"/>
              <w:bottom w:val="single" w:sz="4" w:space="0" w:color="auto"/>
              <w:right w:val="single" w:sz="4" w:space="0" w:color="auto"/>
            </w:tcBorders>
            <w:noWrap/>
            <w:vAlign w:val="center"/>
            <w:hideMark/>
          </w:tcPr>
          <w:p w14:paraId="1DB28189" w14:textId="3E7882A1"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25</w:t>
            </w:r>
          </w:p>
        </w:tc>
        <w:tc>
          <w:tcPr>
            <w:tcW w:w="1134" w:type="dxa"/>
            <w:tcBorders>
              <w:top w:val="nil"/>
              <w:left w:val="nil"/>
              <w:bottom w:val="single" w:sz="4" w:space="0" w:color="auto"/>
              <w:right w:val="single" w:sz="4" w:space="0" w:color="auto"/>
            </w:tcBorders>
            <w:noWrap/>
            <w:vAlign w:val="center"/>
            <w:hideMark/>
          </w:tcPr>
          <w:p w14:paraId="642036F7" w14:textId="762578BB"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20</w:t>
            </w:r>
          </w:p>
        </w:tc>
        <w:tc>
          <w:tcPr>
            <w:tcW w:w="1134" w:type="dxa"/>
            <w:tcBorders>
              <w:top w:val="nil"/>
              <w:left w:val="single" w:sz="4" w:space="0" w:color="auto"/>
              <w:bottom w:val="single" w:sz="4" w:space="0" w:color="auto"/>
              <w:right w:val="single" w:sz="12" w:space="0" w:color="auto"/>
            </w:tcBorders>
            <w:noWrap/>
            <w:vAlign w:val="center"/>
            <w:hideMark/>
          </w:tcPr>
          <w:p w14:paraId="42E98589" w14:textId="01797D94"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16</w:t>
            </w:r>
          </w:p>
        </w:tc>
      </w:tr>
      <w:tr w:rsidR="00543FA4" w:rsidRPr="00FC0A1A" w14:paraId="4F2FCE19" w14:textId="77777777">
        <w:trPr>
          <w:trHeight w:val="272"/>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15E45FF8" w14:textId="70E619DD"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Feethams - Loan</w:t>
            </w:r>
          </w:p>
        </w:tc>
        <w:tc>
          <w:tcPr>
            <w:tcW w:w="2041" w:type="dxa"/>
            <w:tcBorders>
              <w:top w:val="nil"/>
              <w:left w:val="nil"/>
              <w:bottom w:val="single" w:sz="4" w:space="0" w:color="auto"/>
              <w:right w:val="single" w:sz="12" w:space="0" w:color="auto"/>
            </w:tcBorders>
            <w:noWrap/>
            <w:vAlign w:val="bottom"/>
            <w:hideMark/>
          </w:tcPr>
          <w:p w14:paraId="7542606B"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3,230</w:t>
            </w:r>
          </w:p>
        </w:tc>
        <w:tc>
          <w:tcPr>
            <w:tcW w:w="1134" w:type="dxa"/>
            <w:tcBorders>
              <w:top w:val="nil"/>
              <w:left w:val="nil"/>
              <w:bottom w:val="single" w:sz="4" w:space="0" w:color="auto"/>
              <w:right w:val="single" w:sz="4" w:space="0" w:color="auto"/>
            </w:tcBorders>
            <w:noWrap/>
            <w:vAlign w:val="center"/>
            <w:hideMark/>
          </w:tcPr>
          <w:p w14:paraId="0E79D2F9" w14:textId="3E2ABCD9"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w:t>
            </w:r>
          </w:p>
        </w:tc>
        <w:tc>
          <w:tcPr>
            <w:tcW w:w="1134" w:type="dxa"/>
            <w:tcBorders>
              <w:top w:val="nil"/>
              <w:left w:val="single" w:sz="4" w:space="0" w:color="auto"/>
              <w:bottom w:val="single" w:sz="4" w:space="0" w:color="auto"/>
              <w:right w:val="single" w:sz="4" w:space="0" w:color="auto"/>
            </w:tcBorders>
            <w:noWrap/>
            <w:vAlign w:val="center"/>
            <w:hideMark/>
          </w:tcPr>
          <w:p w14:paraId="729F55B9" w14:textId="557B1ADE"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w:t>
            </w:r>
          </w:p>
        </w:tc>
        <w:tc>
          <w:tcPr>
            <w:tcW w:w="1134" w:type="dxa"/>
            <w:tcBorders>
              <w:top w:val="nil"/>
              <w:left w:val="nil"/>
              <w:bottom w:val="single" w:sz="4" w:space="0" w:color="auto"/>
              <w:right w:val="single" w:sz="4" w:space="0" w:color="auto"/>
            </w:tcBorders>
            <w:noWrap/>
            <w:vAlign w:val="center"/>
            <w:hideMark/>
          </w:tcPr>
          <w:p w14:paraId="65A88E0B" w14:textId="381429C2"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w:t>
            </w:r>
          </w:p>
        </w:tc>
        <w:tc>
          <w:tcPr>
            <w:tcW w:w="1134" w:type="dxa"/>
            <w:tcBorders>
              <w:top w:val="nil"/>
              <w:left w:val="single" w:sz="4" w:space="0" w:color="auto"/>
              <w:bottom w:val="single" w:sz="4" w:space="0" w:color="auto"/>
              <w:right w:val="single" w:sz="12" w:space="0" w:color="auto"/>
            </w:tcBorders>
            <w:noWrap/>
            <w:vAlign w:val="center"/>
            <w:hideMark/>
          </w:tcPr>
          <w:p w14:paraId="0E5E354F" w14:textId="30AC022C"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w:t>
            </w:r>
          </w:p>
        </w:tc>
      </w:tr>
      <w:tr w:rsidR="00543FA4" w:rsidRPr="00FC0A1A" w14:paraId="53721319"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780269F9" w14:textId="552613E8"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 xml:space="preserve">Liberty </w:t>
            </w:r>
            <w:r>
              <w:rPr>
                <w:rFonts w:eastAsia="Times New Roman" w:cs="Times New Roman"/>
                <w:b/>
                <w:bCs/>
                <w:color w:val="000000"/>
                <w:kern w:val="0"/>
                <w:sz w:val="20"/>
                <w:szCs w:val="20"/>
                <w:lang w:eastAsia="en-GB"/>
                <w14:ligatures w14:val="none"/>
              </w:rPr>
              <w:t>–</w:t>
            </w:r>
            <w:r w:rsidRPr="00FC0A1A">
              <w:rPr>
                <w:rFonts w:eastAsia="Times New Roman" w:cs="Times New Roman"/>
                <w:b/>
                <w:bCs/>
                <w:color w:val="000000"/>
                <w:kern w:val="0"/>
                <w:sz w:val="20"/>
                <w:szCs w:val="20"/>
                <w:lang w:eastAsia="en-GB"/>
                <w14:ligatures w14:val="none"/>
              </w:rPr>
              <w:t xml:space="preserve"> Loan</w:t>
            </w:r>
          </w:p>
        </w:tc>
        <w:tc>
          <w:tcPr>
            <w:tcW w:w="2041" w:type="dxa"/>
            <w:tcBorders>
              <w:top w:val="nil"/>
              <w:left w:val="nil"/>
              <w:bottom w:val="single" w:sz="4" w:space="0" w:color="auto"/>
              <w:right w:val="single" w:sz="12" w:space="0" w:color="auto"/>
            </w:tcBorders>
            <w:noWrap/>
            <w:vAlign w:val="bottom"/>
            <w:hideMark/>
          </w:tcPr>
          <w:p w14:paraId="0FA86DF2"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2,470</w:t>
            </w:r>
          </w:p>
        </w:tc>
        <w:tc>
          <w:tcPr>
            <w:tcW w:w="1134" w:type="dxa"/>
            <w:tcBorders>
              <w:top w:val="nil"/>
              <w:left w:val="nil"/>
              <w:bottom w:val="single" w:sz="4" w:space="0" w:color="auto"/>
              <w:right w:val="single" w:sz="4" w:space="0" w:color="auto"/>
            </w:tcBorders>
            <w:noWrap/>
            <w:vAlign w:val="center"/>
            <w:hideMark/>
          </w:tcPr>
          <w:p w14:paraId="4B8E9363" w14:textId="046DA7A4"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117</w:t>
            </w:r>
          </w:p>
        </w:tc>
        <w:tc>
          <w:tcPr>
            <w:tcW w:w="1134" w:type="dxa"/>
            <w:tcBorders>
              <w:top w:val="nil"/>
              <w:left w:val="single" w:sz="4" w:space="0" w:color="auto"/>
              <w:bottom w:val="single" w:sz="4" w:space="0" w:color="auto"/>
              <w:right w:val="single" w:sz="4" w:space="0" w:color="auto"/>
            </w:tcBorders>
            <w:noWrap/>
            <w:vAlign w:val="center"/>
            <w:hideMark/>
          </w:tcPr>
          <w:p w14:paraId="37B918D4" w14:textId="0895089B"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47</w:t>
            </w:r>
          </w:p>
        </w:tc>
        <w:tc>
          <w:tcPr>
            <w:tcW w:w="1134" w:type="dxa"/>
            <w:tcBorders>
              <w:top w:val="nil"/>
              <w:left w:val="nil"/>
              <w:bottom w:val="single" w:sz="4" w:space="0" w:color="auto"/>
              <w:right w:val="single" w:sz="4" w:space="0" w:color="auto"/>
            </w:tcBorders>
            <w:noWrap/>
            <w:vAlign w:val="center"/>
            <w:hideMark/>
          </w:tcPr>
          <w:p w14:paraId="52FA4B04" w14:textId="07B058F0"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w:t>
            </w:r>
          </w:p>
        </w:tc>
        <w:tc>
          <w:tcPr>
            <w:tcW w:w="1134" w:type="dxa"/>
            <w:tcBorders>
              <w:top w:val="nil"/>
              <w:left w:val="single" w:sz="4" w:space="0" w:color="auto"/>
              <w:bottom w:val="single" w:sz="4" w:space="0" w:color="auto"/>
              <w:right w:val="single" w:sz="12" w:space="0" w:color="auto"/>
            </w:tcBorders>
            <w:noWrap/>
            <w:vAlign w:val="center"/>
            <w:hideMark/>
          </w:tcPr>
          <w:p w14:paraId="671CB5A9" w14:textId="1782E52C"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w:t>
            </w:r>
          </w:p>
        </w:tc>
      </w:tr>
      <w:tr w:rsidR="00543FA4" w:rsidRPr="00FC0A1A" w14:paraId="4533FC63"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5A5385D7"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Waste Loan 1</w:t>
            </w:r>
          </w:p>
        </w:tc>
        <w:tc>
          <w:tcPr>
            <w:tcW w:w="2041" w:type="dxa"/>
            <w:tcBorders>
              <w:top w:val="nil"/>
              <w:left w:val="nil"/>
              <w:bottom w:val="single" w:sz="4" w:space="0" w:color="auto"/>
              <w:right w:val="single" w:sz="12" w:space="0" w:color="auto"/>
            </w:tcBorders>
            <w:noWrap/>
            <w:vAlign w:val="bottom"/>
            <w:hideMark/>
          </w:tcPr>
          <w:p w14:paraId="51426830"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2,259</w:t>
            </w:r>
          </w:p>
        </w:tc>
        <w:tc>
          <w:tcPr>
            <w:tcW w:w="1134" w:type="dxa"/>
            <w:tcBorders>
              <w:top w:val="nil"/>
              <w:left w:val="nil"/>
              <w:bottom w:val="single" w:sz="4" w:space="0" w:color="auto"/>
              <w:right w:val="single" w:sz="4" w:space="0" w:color="auto"/>
            </w:tcBorders>
            <w:noWrap/>
            <w:vAlign w:val="center"/>
            <w:hideMark/>
          </w:tcPr>
          <w:p w14:paraId="7BA3E688" w14:textId="468BD953"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26</w:t>
            </w:r>
          </w:p>
        </w:tc>
        <w:tc>
          <w:tcPr>
            <w:tcW w:w="1134" w:type="dxa"/>
            <w:tcBorders>
              <w:top w:val="nil"/>
              <w:left w:val="single" w:sz="4" w:space="0" w:color="auto"/>
              <w:bottom w:val="single" w:sz="4" w:space="0" w:color="auto"/>
              <w:right w:val="single" w:sz="4" w:space="0" w:color="auto"/>
            </w:tcBorders>
            <w:noWrap/>
            <w:vAlign w:val="center"/>
            <w:hideMark/>
          </w:tcPr>
          <w:p w14:paraId="59CFDB3A" w14:textId="40CFEA33"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26</w:t>
            </w:r>
          </w:p>
        </w:tc>
        <w:tc>
          <w:tcPr>
            <w:tcW w:w="1134" w:type="dxa"/>
            <w:tcBorders>
              <w:top w:val="nil"/>
              <w:left w:val="nil"/>
              <w:bottom w:val="single" w:sz="4" w:space="0" w:color="auto"/>
              <w:right w:val="single" w:sz="4" w:space="0" w:color="auto"/>
            </w:tcBorders>
            <w:noWrap/>
            <w:vAlign w:val="center"/>
            <w:hideMark/>
          </w:tcPr>
          <w:p w14:paraId="161A2899" w14:textId="76DF5532"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26</w:t>
            </w:r>
          </w:p>
        </w:tc>
        <w:tc>
          <w:tcPr>
            <w:tcW w:w="1134" w:type="dxa"/>
            <w:tcBorders>
              <w:top w:val="nil"/>
              <w:left w:val="single" w:sz="4" w:space="0" w:color="auto"/>
              <w:bottom w:val="single" w:sz="4" w:space="0" w:color="auto"/>
              <w:right w:val="single" w:sz="12" w:space="0" w:color="auto"/>
            </w:tcBorders>
            <w:noWrap/>
            <w:vAlign w:val="center"/>
            <w:hideMark/>
          </w:tcPr>
          <w:p w14:paraId="049437F9" w14:textId="1B984AB6"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27</w:t>
            </w:r>
          </w:p>
        </w:tc>
      </w:tr>
      <w:tr w:rsidR="00543FA4" w:rsidRPr="00FC0A1A" w14:paraId="5FEBB7FE"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76662CE4"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Waste Loan 2</w:t>
            </w:r>
          </w:p>
        </w:tc>
        <w:tc>
          <w:tcPr>
            <w:tcW w:w="2041" w:type="dxa"/>
            <w:tcBorders>
              <w:top w:val="nil"/>
              <w:left w:val="nil"/>
              <w:bottom w:val="single" w:sz="4" w:space="0" w:color="auto"/>
              <w:right w:val="single" w:sz="12" w:space="0" w:color="auto"/>
            </w:tcBorders>
            <w:noWrap/>
            <w:vAlign w:val="bottom"/>
            <w:hideMark/>
          </w:tcPr>
          <w:p w14:paraId="48D5193E"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531</w:t>
            </w:r>
          </w:p>
        </w:tc>
        <w:tc>
          <w:tcPr>
            <w:tcW w:w="1134" w:type="dxa"/>
            <w:tcBorders>
              <w:top w:val="nil"/>
              <w:left w:val="nil"/>
              <w:bottom w:val="single" w:sz="4" w:space="0" w:color="auto"/>
              <w:right w:val="single" w:sz="4" w:space="0" w:color="auto"/>
            </w:tcBorders>
            <w:noWrap/>
            <w:vAlign w:val="center"/>
            <w:hideMark/>
          </w:tcPr>
          <w:p w14:paraId="32364773" w14:textId="3A42C051"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14</w:t>
            </w:r>
          </w:p>
        </w:tc>
        <w:tc>
          <w:tcPr>
            <w:tcW w:w="1134" w:type="dxa"/>
            <w:tcBorders>
              <w:top w:val="nil"/>
              <w:left w:val="single" w:sz="4" w:space="0" w:color="auto"/>
              <w:bottom w:val="single" w:sz="4" w:space="0" w:color="auto"/>
              <w:right w:val="single" w:sz="4" w:space="0" w:color="auto"/>
            </w:tcBorders>
            <w:noWrap/>
            <w:vAlign w:val="center"/>
            <w:hideMark/>
          </w:tcPr>
          <w:p w14:paraId="675FDE24" w14:textId="6F8E239D"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14</w:t>
            </w:r>
          </w:p>
        </w:tc>
        <w:tc>
          <w:tcPr>
            <w:tcW w:w="1134" w:type="dxa"/>
            <w:tcBorders>
              <w:top w:val="nil"/>
              <w:left w:val="nil"/>
              <w:bottom w:val="single" w:sz="4" w:space="0" w:color="auto"/>
              <w:right w:val="single" w:sz="4" w:space="0" w:color="auto"/>
            </w:tcBorders>
            <w:noWrap/>
            <w:vAlign w:val="center"/>
            <w:hideMark/>
          </w:tcPr>
          <w:p w14:paraId="63DA0356" w14:textId="0434DA2C"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15</w:t>
            </w:r>
          </w:p>
        </w:tc>
        <w:tc>
          <w:tcPr>
            <w:tcW w:w="1134" w:type="dxa"/>
            <w:tcBorders>
              <w:top w:val="nil"/>
              <w:left w:val="single" w:sz="4" w:space="0" w:color="auto"/>
              <w:bottom w:val="single" w:sz="4" w:space="0" w:color="auto"/>
              <w:right w:val="single" w:sz="12" w:space="0" w:color="auto"/>
            </w:tcBorders>
            <w:noWrap/>
            <w:vAlign w:val="center"/>
            <w:hideMark/>
          </w:tcPr>
          <w:p w14:paraId="3DBEE889" w14:textId="4877353C"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15</w:t>
            </w:r>
          </w:p>
        </w:tc>
      </w:tr>
      <w:tr w:rsidR="00543FA4" w:rsidRPr="00FC0A1A" w14:paraId="114B1403"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70FE7E83"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Waste Loan 3</w:t>
            </w:r>
          </w:p>
        </w:tc>
        <w:tc>
          <w:tcPr>
            <w:tcW w:w="2041" w:type="dxa"/>
            <w:tcBorders>
              <w:top w:val="nil"/>
              <w:left w:val="nil"/>
              <w:bottom w:val="single" w:sz="4" w:space="0" w:color="auto"/>
              <w:right w:val="single" w:sz="12" w:space="0" w:color="auto"/>
            </w:tcBorders>
            <w:noWrap/>
            <w:vAlign w:val="bottom"/>
            <w:hideMark/>
          </w:tcPr>
          <w:p w14:paraId="6E484F5D"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659</w:t>
            </w:r>
          </w:p>
        </w:tc>
        <w:tc>
          <w:tcPr>
            <w:tcW w:w="1134" w:type="dxa"/>
            <w:tcBorders>
              <w:top w:val="nil"/>
              <w:left w:val="nil"/>
              <w:bottom w:val="single" w:sz="4" w:space="0" w:color="auto"/>
              <w:right w:val="single" w:sz="4" w:space="0" w:color="auto"/>
            </w:tcBorders>
            <w:noWrap/>
            <w:vAlign w:val="center"/>
            <w:hideMark/>
          </w:tcPr>
          <w:p w14:paraId="671992A7" w14:textId="236FEE9D"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31</w:t>
            </w:r>
          </w:p>
        </w:tc>
        <w:tc>
          <w:tcPr>
            <w:tcW w:w="1134" w:type="dxa"/>
            <w:tcBorders>
              <w:top w:val="nil"/>
              <w:left w:val="single" w:sz="4" w:space="0" w:color="auto"/>
              <w:bottom w:val="single" w:sz="4" w:space="0" w:color="auto"/>
              <w:right w:val="single" w:sz="4" w:space="0" w:color="auto"/>
            </w:tcBorders>
            <w:noWrap/>
            <w:vAlign w:val="center"/>
            <w:hideMark/>
          </w:tcPr>
          <w:p w14:paraId="5B1BF1D9" w14:textId="60241BC2"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33</w:t>
            </w:r>
          </w:p>
        </w:tc>
        <w:tc>
          <w:tcPr>
            <w:tcW w:w="1134" w:type="dxa"/>
            <w:tcBorders>
              <w:top w:val="nil"/>
              <w:left w:val="nil"/>
              <w:bottom w:val="single" w:sz="4" w:space="0" w:color="auto"/>
              <w:right w:val="single" w:sz="4" w:space="0" w:color="auto"/>
            </w:tcBorders>
            <w:noWrap/>
            <w:vAlign w:val="center"/>
            <w:hideMark/>
          </w:tcPr>
          <w:p w14:paraId="5A1A0239" w14:textId="7FFF31EA"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34</w:t>
            </w:r>
          </w:p>
        </w:tc>
        <w:tc>
          <w:tcPr>
            <w:tcW w:w="1134" w:type="dxa"/>
            <w:tcBorders>
              <w:top w:val="nil"/>
              <w:left w:val="single" w:sz="4" w:space="0" w:color="auto"/>
              <w:bottom w:val="single" w:sz="4" w:space="0" w:color="auto"/>
              <w:right w:val="single" w:sz="12" w:space="0" w:color="auto"/>
            </w:tcBorders>
            <w:noWrap/>
            <w:vAlign w:val="center"/>
            <w:hideMark/>
          </w:tcPr>
          <w:p w14:paraId="32D4303B" w14:textId="1561BAEF"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36</w:t>
            </w:r>
          </w:p>
        </w:tc>
      </w:tr>
      <w:tr w:rsidR="00543FA4" w:rsidRPr="00FC0A1A" w14:paraId="6787F2C2"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084B82FF"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Waste Loan 4</w:t>
            </w:r>
          </w:p>
        </w:tc>
        <w:tc>
          <w:tcPr>
            <w:tcW w:w="2041" w:type="dxa"/>
            <w:tcBorders>
              <w:top w:val="nil"/>
              <w:left w:val="nil"/>
              <w:bottom w:val="single" w:sz="4" w:space="0" w:color="auto"/>
              <w:right w:val="single" w:sz="12" w:space="0" w:color="auto"/>
            </w:tcBorders>
            <w:noWrap/>
            <w:vAlign w:val="bottom"/>
            <w:hideMark/>
          </w:tcPr>
          <w:p w14:paraId="53ED2430"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96</w:t>
            </w:r>
          </w:p>
        </w:tc>
        <w:tc>
          <w:tcPr>
            <w:tcW w:w="1134" w:type="dxa"/>
            <w:tcBorders>
              <w:top w:val="nil"/>
              <w:left w:val="nil"/>
              <w:bottom w:val="single" w:sz="4" w:space="0" w:color="auto"/>
              <w:right w:val="single" w:sz="4" w:space="0" w:color="auto"/>
            </w:tcBorders>
            <w:noWrap/>
            <w:vAlign w:val="center"/>
            <w:hideMark/>
          </w:tcPr>
          <w:p w14:paraId="4B921E14" w14:textId="66828C74"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5</w:t>
            </w:r>
          </w:p>
        </w:tc>
        <w:tc>
          <w:tcPr>
            <w:tcW w:w="1134" w:type="dxa"/>
            <w:tcBorders>
              <w:top w:val="nil"/>
              <w:left w:val="single" w:sz="4" w:space="0" w:color="auto"/>
              <w:bottom w:val="single" w:sz="4" w:space="0" w:color="auto"/>
              <w:right w:val="single" w:sz="4" w:space="0" w:color="auto"/>
            </w:tcBorders>
            <w:noWrap/>
            <w:vAlign w:val="center"/>
            <w:hideMark/>
          </w:tcPr>
          <w:p w14:paraId="3F98BA89" w14:textId="43F9C7C9"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27</w:t>
            </w:r>
          </w:p>
        </w:tc>
        <w:tc>
          <w:tcPr>
            <w:tcW w:w="1134" w:type="dxa"/>
            <w:tcBorders>
              <w:top w:val="nil"/>
              <w:left w:val="nil"/>
              <w:bottom w:val="single" w:sz="4" w:space="0" w:color="auto"/>
              <w:right w:val="single" w:sz="4" w:space="0" w:color="auto"/>
            </w:tcBorders>
            <w:noWrap/>
            <w:vAlign w:val="center"/>
            <w:hideMark/>
          </w:tcPr>
          <w:p w14:paraId="6138E85E" w14:textId="1C2ECEC0"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30</w:t>
            </w:r>
          </w:p>
        </w:tc>
        <w:tc>
          <w:tcPr>
            <w:tcW w:w="1134" w:type="dxa"/>
            <w:tcBorders>
              <w:top w:val="nil"/>
              <w:left w:val="single" w:sz="4" w:space="0" w:color="auto"/>
              <w:bottom w:val="single" w:sz="4" w:space="0" w:color="auto"/>
              <w:right w:val="single" w:sz="12" w:space="0" w:color="auto"/>
            </w:tcBorders>
            <w:noWrap/>
            <w:vAlign w:val="center"/>
            <w:hideMark/>
          </w:tcPr>
          <w:p w14:paraId="5F374CBE" w14:textId="02E3AAE2"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33</w:t>
            </w:r>
          </w:p>
        </w:tc>
      </w:tr>
      <w:tr w:rsidR="00543FA4" w:rsidRPr="00FC0A1A" w14:paraId="4BC2826D"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6578DF3B"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Waste Loan 5</w:t>
            </w:r>
          </w:p>
        </w:tc>
        <w:tc>
          <w:tcPr>
            <w:tcW w:w="2041" w:type="dxa"/>
            <w:tcBorders>
              <w:top w:val="nil"/>
              <w:left w:val="nil"/>
              <w:bottom w:val="single" w:sz="4" w:space="0" w:color="auto"/>
              <w:right w:val="single" w:sz="12" w:space="0" w:color="auto"/>
            </w:tcBorders>
            <w:noWrap/>
            <w:vAlign w:val="bottom"/>
            <w:hideMark/>
          </w:tcPr>
          <w:p w14:paraId="6918C3B5"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385</w:t>
            </w:r>
          </w:p>
        </w:tc>
        <w:tc>
          <w:tcPr>
            <w:tcW w:w="1134" w:type="dxa"/>
            <w:tcBorders>
              <w:top w:val="nil"/>
              <w:left w:val="nil"/>
              <w:bottom w:val="single" w:sz="4" w:space="0" w:color="auto"/>
              <w:right w:val="single" w:sz="4" w:space="0" w:color="auto"/>
            </w:tcBorders>
            <w:noWrap/>
            <w:vAlign w:val="center"/>
            <w:hideMark/>
          </w:tcPr>
          <w:p w14:paraId="7618D875" w14:textId="13A268C5"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16</w:t>
            </w:r>
          </w:p>
        </w:tc>
        <w:tc>
          <w:tcPr>
            <w:tcW w:w="1134" w:type="dxa"/>
            <w:tcBorders>
              <w:top w:val="nil"/>
              <w:left w:val="single" w:sz="4" w:space="0" w:color="auto"/>
              <w:bottom w:val="single" w:sz="4" w:space="0" w:color="auto"/>
              <w:right w:val="single" w:sz="4" w:space="0" w:color="auto"/>
            </w:tcBorders>
            <w:noWrap/>
            <w:vAlign w:val="center"/>
            <w:hideMark/>
          </w:tcPr>
          <w:p w14:paraId="3234FB50" w14:textId="2A293203"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17</w:t>
            </w:r>
          </w:p>
        </w:tc>
        <w:tc>
          <w:tcPr>
            <w:tcW w:w="1134" w:type="dxa"/>
            <w:tcBorders>
              <w:top w:val="nil"/>
              <w:left w:val="nil"/>
              <w:bottom w:val="single" w:sz="4" w:space="0" w:color="auto"/>
              <w:right w:val="single" w:sz="4" w:space="0" w:color="auto"/>
            </w:tcBorders>
            <w:noWrap/>
            <w:vAlign w:val="center"/>
            <w:hideMark/>
          </w:tcPr>
          <w:p w14:paraId="3599FAD0" w14:textId="35F4CF28"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18</w:t>
            </w:r>
          </w:p>
        </w:tc>
        <w:tc>
          <w:tcPr>
            <w:tcW w:w="1134" w:type="dxa"/>
            <w:tcBorders>
              <w:top w:val="nil"/>
              <w:left w:val="single" w:sz="4" w:space="0" w:color="auto"/>
              <w:bottom w:val="single" w:sz="4" w:space="0" w:color="auto"/>
              <w:right w:val="single" w:sz="12" w:space="0" w:color="auto"/>
            </w:tcBorders>
            <w:noWrap/>
            <w:vAlign w:val="center"/>
            <w:hideMark/>
          </w:tcPr>
          <w:p w14:paraId="6F37D3BA" w14:textId="483B0B1D"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19</w:t>
            </w:r>
          </w:p>
        </w:tc>
      </w:tr>
      <w:tr w:rsidR="00543FA4" w:rsidRPr="00FC0A1A" w14:paraId="0344ED2C"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0012732E" w14:textId="15633650"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Goosepool TIAL Purchase</w:t>
            </w:r>
          </w:p>
        </w:tc>
        <w:tc>
          <w:tcPr>
            <w:tcW w:w="2041" w:type="dxa"/>
            <w:tcBorders>
              <w:top w:val="nil"/>
              <w:left w:val="nil"/>
              <w:bottom w:val="single" w:sz="4" w:space="0" w:color="auto"/>
              <w:right w:val="single" w:sz="12" w:space="0" w:color="auto"/>
            </w:tcBorders>
            <w:noWrap/>
            <w:vAlign w:val="bottom"/>
            <w:hideMark/>
          </w:tcPr>
          <w:p w14:paraId="5ED96E8C"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57,724</w:t>
            </w:r>
          </w:p>
        </w:tc>
        <w:tc>
          <w:tcPr>
            <w:tcW w:w="1134" w:type="dxa"/>
            <w:tcBorders>
              <w:top w:val="nil"/>
              <w:left w:val="nil"/>
              <w:bottom w:val="single" w:sz="4" w:space="0" w:color="auto"/>
              <w:right w:val="single" w:sz="4" w:space="0" w:color="auto"/>
            </w:tcBorders>
            <w:noWrap/>
            <w:vAlign w:val="center"/>
            <w:hideMark/>
          </w:tcPr>
          <w:p w14:paraId="5672CB99" w14:textId="01CDAFB4"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3,008</w:t>
            </w:r>
          </w:p>
        </w:tc>
        <w:tc>
          <w:tcPr>
            <w:tcW w:w="1134" w:type="dxa"/>
            <w:tcBorders>
              <w:top w:val="nil"/>
              <w:left w:val="single" w:sz="4" w:space="0" w:color="auto"/>
              <w:bottom w:val="single" w:sz="4" w:space="0" w:color="auto"/>
              <w:right w:val="single" w:sz="4" w:space="0" w:color="auto"/>
            </w:tcBorders>
            <w:noWrap/>
            <w:vAlign w:val="center"/>
            <w:hideMark/>
          </w:tcPr>
          <w:p w14:paraId="0CF992CA" w14:textId="32C26E76"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3,171</w:t>
            </w:r>
          </w:p>
        </w:tc>
        <w:tc>
          <w:tcPr>
            <w:tcW w:w="1134" w:type="dxa"/>
            <w:tcBorders>
              <w:top w:val="nil"/>
              <w:left w:val="nil"/>
              <w:bottom w:val="single" w:sz="4" w:space="0" w:color="auto"/>
              <w:right w:val="single" w:sz="4" w:space="0" w:color="auto"/>
            </w:tcBorders>
            <w:noWrap/>
            <w:vAlign w:val="center"/>
            <w:hideMark/>
          </w:tcPr>
          <w:p w14:paraId="5D80F991" w14:textId="72CCB443"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3,323</w:t>
            </w:r>
          </w:p>
        </w:tc>
        <w:tc>
          <w:tcPr>
            <w:tcW w:w="1134" w:type="dxa"/>
            <w:tcBorders>
              <w:top w:val="nil"/>
              <w:left w:val="single" w:sz="4" w:space="0" w:color="auto"/>
              <w:bottom w:val="single" w:sz="4" w:space="0" w:color="auto"/>
              <w:right w:val="single" w:sz="12" w:space="0" w:color="auto"/>
            </w:tcBorders>
            <w:noWrap/>
            <w:vAlign w:val="center"/>
            <w:hideMark/>
          </w:tcPr>
          <w:p w14:paraId="37F313A2" w14:textId="6D464011"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3,503</w:t>
            </w:r>
          </w:p>
        </w:tc>
      </w:tr>
      <w:tr w:rsidR="00543FA4" w:rsidRPr="00FC0A1A" w14:paraId="6B67397A" w14:textId="77777777">
        <w:trPr>
          <w:trHeight w:val="29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064B50C2" w14:textId="085A5E0F"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 xml:space="preserve">Airport TIAL Opex &amp; Capex </w:t>
            </w:r>
          </w:p>
        </w:tc>
        <w:tc>
          <w:tcPr>
            <w:tcW w:w="2041" w:type="dxa"/>
            <w:tcBorders>
              <w:top w:val="nil"/>
              <w:left w:val="nil"/>
              <w:bottom w:val="single" w:sz="4" w:space="0" w:color="auto"/>
              <w:right w:val="single" w:sz="12" w:space="0" w:color="auto"/>
            </w:tcBorders>
            <w:noWrap/>
            <w:vAlign w:val="bottom"/>
            <w:hideMark/>
          </w:tcPr>
          <w:p w14:paraId="1265D68F"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72,956</w:t>
            </w:r>
          </w:p>
        </w:tc>
        <w:tc>
          <w:tcPr>
            <w:tcW w:w="1134" w:type="dxa"/>
            <w:tcBorders>
              <w:top w:val="nil"/>
              <w:left w:val="nil"/>
              <w:bottom w:val="single" w:sz="4" w:space="0" w:color="auto"/>
              <w:right w:val="single" w:sz="4" w:space="0" w:color="auto"/>
            </w:tcBorders>
            <w:noWrap/>
            <w:vAlign w:val="center"/>
            <w:hideMark/>
          </w:tcPr>
          <w:p w14:paraId="67E4D945" w14:textId="24E0BA5E"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1,763</w:t>
            </w:r>
          </w:p>
        </w:tc>
        <w:tc>
          <w:tcPr>
            <w:tcW w:w="1134" w:type="dxa"/>
            <w:tcBorders>
              <w:top w:val="nil"/>
              <w:left w:val="single" w:sz="4" w:space="0" w:color="auto"/>
              <w:bottom w:val="single" w:sz="4" w:space="0" w:color="auto"/>
              <w:right w:val="single" w:sz="4" w:space="0" w:color="auto"/>
            </w:tcBorders>
            <w:noWrap/>
            <w:vAlign w:val="center"/>
            <w:hideMark/>
          </w:tcPr>
          <w:p w14:paraId="517018E6" w14:textId="155F4DEC"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1,809</w:t>
            </w:r>
          </w:p>
        </w:tc>
        <w:tc>
          <w:tcPr>
            <w:tcW w:w="1134" w:type="dxa"/>
            <w:tcBorders>
              <w:top w:val="nil"/>
              <w:left w:val="nil"/>
              <w:bottom w:val="single" w:sz="4" w:space="0" w:color="auto"/>
              <w:right w:val="single" w:sz="4" w:space="0" w:color="auto"/>
            </w:tcBorders>
            <w:noWrap/>
            <w:vAlign w:val="center"/>
            <w:hideMark/>
          </w:tcPr>
          <w:p w14:paraId="54781635" w14:textId="38D6BC16"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1,845</w:t>
            </w:r>
          </w:p>
        </w:tc>
        <w:tc>
          <w:tcPr>
            <w:tcW w:w="1134" w:type="dxa"/>
            <w:tcBorders>
              <w:top w:val="nil"/>
              <w:left w:val="single" w:sz="4" w:space="0" w:color="auto"/>
              <w:bottom w:val="single" w:sz="4" w:space="0" w:color="auto"/>
              <w:right w:val="single" w:sz="12" w:space="0" w:color="auto"/>
            </w:tcBorders>
            <w:noWrap/>
            <w:vAlign w:val="center"/>
            <w:hideMark/>
          </w:tcPr>
          <w:p w14:paraId="1DF8C340" w14:textId="41A8F8AA"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1,894</w:t>
            </w:r>
          </w:p>
        </w:tc>
      </w:tr>
      <w:tr w:rsidR="00543FA4" w:rsidRPr="00FC0A1A" w14:paraId="6541726E" w14:textId="77777777">
        <w:trPr>
          <w:trHeight w:val="300"/>
        </w:trPr>
        <w:tc>
          <w:tcPr>
            <w:tcW w:w="2891" w:type="dxa"/>
            <w:tcBorders>
              <w:top w:val="nil"/>
              <w:left w:val="single" w:sz="12" w:space="0" w:color="auto"/>
              <w:bottom w:val="single" w:sz="4" w:space="0" w:color="auto"/>
              <w:right w:val="single" w:sz="4" w:space="0" w:color="auto"/>
            </w:tcBorders>
            <w:shd w:val="clear" w:color="auto" w:fill="E8E8E8"/>
            <w:noWrap/>
            <w:vAlign w:val="bottom"/>
            <w:hideMark/>
          </w:tcPr>
          <w:p w14:paraId="7214E53E" w14:textId="46930352"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 xml:space="preserve">Airport Southside </w:t>
            </w:r>
          </w:p>
        </w:tc>
        <w:tc>
          <w:tcPr>
            <w:tcW w:w="2041" w:type="dxa"/>
            <w:tcBorders>
              <w:top w:val="nil"/>
              <w:left w:val="nil"/>
              <w:bottom w:val="single" w:sz="4" w:space="0" w:color="auto"/>
              <w:right w:val="single" w:sz="12" w:space="0" w:color="auto"/>
            </w:tcBorders>
            <w:noWrap/>
            <w:vAlign w:val="bottom"/>
            <w:hideMark/>
          </w:tcPr>
          <w:p w14:paraId="26AB7954" w14:textId="77777777" w:rsidR="00543FA4" w:rsidRPr="00FC0A1A" w:rsidRDefault="00543FA4" w:rsidP="00543FA4">
            <w:pPr>
              <w:jc w:val="right"/>
              <w:rPr>
                <w:rFonts w:eastAsia="Times New Roman" w:cs="Times New Roman"/>
                <w:color w:val="000000"/>
                <w:kern w:val="0"/>
                <w:sz w:val="20"/>
                <w:szCs w:val="20"/>
                <w:lang w:eastAsia="en-GB"/>
                <w14:ligatures w14:val="none"/>
              </w:rPr>
            </w:pPr>
            <w:r w:rsidRPr="00FC0A1A">
              <w:rPr>
                <w:rFonts w:eastAsia="Times New Roman" w:cs="Times New Roman"/>
                <w:color w:val="000000"/>
                <w:kern w:val="0"/>
                <w:sz w:val="20"/>
                <w:szCs w:val="20"/>
                <w:lang w:eastAsia="en-GB"/>
                <w14:ligatures w14:val="none"/>
              </w:rPr>
              <w:t>27,216</w:t>
            </w:r>
          </w:p>
        </w:tc>
        <w:tc>
          <w:tcPr>
            <w:tcW w:w="1134" w:type="dxa"/>
            <w:tcBorders>
              <w:top w:val="single" w:sz="4" w:space="0" w:color="auto"/>
              <w:left w:val="nil"/>
              <w:bottom w:val="nil"/>
              <w:right w:val="single" w:sz="4" w:space="0" w:color="auto"/>
            </w:tcBorders>
            <w:noWrap/>
            <w:vAlign w:val="center"/>
            <w:hideMark/>
          </w:tcPr>
          <w:p w14:paraId="1B5A6475" w14:textId="7DDF75D8"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1,418</w:t>
            </w:r>
          </w:p>
        </w:tc>
        <w:tc>
          <w:tcPr>
            <w:tcW w:w="1134" w:type="dxa"/>
            <w:tcBorders>
              <w:top w:val="nil"/>
              <w:left w:val="nil"/>
              <w:bottom w:val="nil"/>
              <w:right w:val="single" w:sz="4" w:space="0" w:color="auto"/>
            </w:tcBorders>
            <w:noWrap/>
            <w:vAlign w:val="center"/>
            <w:hideMark/>
          </w:tcPr>
          <w:p w14:paraId="75CCA748" w14:textId="4F723AEB"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1,495</w:t>
            </w:r>
          </w:p>
        </w:tc>
        <w:tc>
          <w:tcPr>
            <w:tcW w:w="1134" w:type="dxa"/>
            <w:tcBorders>
              <w:top w:val="nil"/>
              <w:left w:val="nil"/>
              <w:bottom w:val="nil"/>
              <w:right w:val="single" w:sz="4" w:space="0" w:color="auto"/>
            </w:tcBorders>
            <w:noWrap/>
            <w:vAlign w:val="center"/>
            <w:hideMark/>
          </w:tcPr>
          <w:p w14:paraId="473A59A3" w14:textId="19BDC9D1"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1,567</w:t>
            </w:r>
          </w:p>
        </w:tc>
        <w:tc>
          <w:tcPr>
            <w:tcW w:w="1134" w:type="dxa"/>
            <w:tcBorders>
              <w:top w:val="nil"/>
              <w:left w:val="single" w:sz="4" w:space="0" w:color="auto"/>
              <w:bottom w:val="nil"/>
              <w:right w:val="single" w:sz="12" w:space="0" w:color="auto"/>
            </w:tcBorders>
            <w:noWrap/>
            <w:vAlign w:val="center"/>
            <w:hideMark/>
          </w:tcPr>
          <w:p w14:paraId="248D8C05" w14:textId="4E3CD7B5" w:rsidR="00543FA4" w:rsidRPr="00FC0A1A" w:rsidRDefault="00543FA4" w:rsidP="00543FA4">
            <w:pPr>
              <w:jc w:val="right"/>
              <w:rPr>
                <w:rFonts w:eastAsia="Times New Roman" w:cs="Times New Roman"/>
                <w:color w:val="000000"/>
                <w:kern w:val="0"/>
                <w:sz w:val="20"/>
                <w:szCs w:val="20"/>
                <w:lang w:eastAsia="en-GB"/>
                <w14:ligatures w14:val="none"/>
              </w:rPr>
            </w:pPr>
            <w:r>
              <w:rPr>
                <w:color w:val="000000"/>
                <w:sz w:val="20"/>
                <w:szCs w:val="20"/>
              </w:rPr>
              <w:t>1,651</w:t>
            </w:r>
          </w:p>
        </w:tc>
      </w:tr>
      <w:tr w:rsidR="00543FA4" w:rsidRPr="00FC0A1A" w14:paraId="7BFBA07E" w14:textId="77777777">
        <w:trPr>
          <w:trHeight w:val="310"/>
        </w:trPr>
        <w:tc>
          <w:tcPr>
            <w:tcW w:w="2891" w:type="dxa"/>
            <w:tcBorders>
              <w:top w:val="single" w:sz="12" w:space="0" w:color="auto"/>
              <w:left w:val="single" w:sz="12" w:space="0" w:color="auto"/>
              <w:bottom w:val="single" w:sz="12" w:space="0" w:color="auto"/>
              <w:right w:val="single" w:sz="4" w:space="0" w:color="auto"/>
            </w:tcBorders>
            <w:shd w:val="clear" w:color="auto" w:fill="E8E8E8"/>
            <w:noWrap/>
            <w:vAlign w:val="bottom"/>
            <w:hideMark/>
          </w:tcPr>
          <w:p w14:paraId="1ACFE544"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 </w:t>
            </w:r>
          </w:p>
        </w:tc>
        <w:tc>
          <w:tcPr>
            <w:tcW w:w="2041" w:type="dxa"/>
            <w:tcBorders>
              <w:top w:val="single" w:sz="12" w:space="0" w:color="auto"/>
              <w:left w:val="nil"/>
              <w:bottom w:val="single" w:sz="12" w:space="0" w:color="auto"/>
              <w:right w:val="single" w:sz="12" w:space="0" w:color="auto"/>
            </w:tcBorders>
            <w:shd w:val="clear" w:color="auto" w:fill="E8E8E8"/>
            <w:noWrap/>
            <w:vAlign w:val="bottom"/>
            <w:hideMark/>
          </w:tcPr>
          <w:p w14:paraId="349B2C7C" w14:textId="77777777" w:rsidR="00543FA4" w:rsidRPr="00FC0A1A" w:rsidRDefault="00543FA4" w:rsidP="00543FA4">
            <w:pPr>
              <w:rPr>
                <w:rFonts w:eastAsia="Times New Roman" w:cs="Times New Roman"/>
                <w:b/>
                <w:bCs/>
                <w:color w:val="000000"/>
                <w:kern w:val="0"/>
                <w:sz w:val="20"/>
                <w:szCs w:val="20"/>
                <w:lang w:eastAsia="en-GB"/>
                <w14:ligatures w14:val="none"/>
              </w:rPr>
            </w:pPr>
            <w:r w:rsidRPr="00FC0A1A">
              <w:rPr>
                <w:rFonts w:eastAsia="Times New Roman" w:cs="Times New Roman"/>
                <w:b/>
                <w:bCs/>
                <w:color w:val="000000"/>
                <w:kern w:val="0"/>
                <w:sz w:val="20"/>
                <w:szCs w:val="20"/>
                <w:lang w:eastAsia="en-GB"/>
                <w14:ligatures w14:val="none"/>
              </w:rPr>
              <w:t> </w:t>
            </w:r>
          </w:p>
        </w:tc>
        <w:tc>
          <w:tcPr>
            <w:tcW w:w="1134" w:type="dxa"/>
            <w:tcBorders>
              <w:top w:val="single" w:sz="12" w:space="0" w:color="auto"/>
              <w:left w:val="nil"/>
              <w:bottom w:val="single" w:sz="12" w:space="0" w:color="auto"/>
              <w:right w:val="single" w:sz="4" w:space="0" w:color="auto"/>
            </w:tcBorders>
            <w:shd w:val="clear" w:color="auto" w:fill="E8E8E8"/>
            <w:noWrap/>
            <w:vAlign w:val="center"/>
            <w:hideMark/>
          </w:tcPr>
          <w:p w14:paraId="40064F2A" w14:textId="2C327975" w:rsidR="00543FA4" w:rsidRPr="00FC0A1A" w:rsidRDefault="00543FA4" w:rsidP="00543FA4">
            <w:pPr>
              <w:jc w:val="right"/>
              <w:rPr>
                <w:rFonts w:eastAsia="Times New Roman" w:cs="Times New Roman"/>
                <w:b/>
                <w:bCs/>
                <w:color w:val="000000"/>
                <w:kern w:val="0"/>
                <w:sz w:val="20"/>
                <w:szCs w:val="20"/>
                <w:lang w:eastAsia="en-GB"/>
                <w14:ligatures w14:val="none"/>
              </w:rPr>
            </w:pPr>
            <w:r>
              <w:rPr>
                <w:b/>
                <w:bCs/>
                <w:color w:val="000000"/>
                <w:sz w:val="20"/>
                <w:szCs w:val="20"/>
              </w:rPr>
              <w:t>20,678</w:t>
            </w:r>
          </w:p>
        </w:tc>
        <w:tc>
          <w:tcPr>
            <w:tcW w:w="1134" w:type="dxa"/>
            <w:tcBorders>
              <w:top w:val="single" w:sz="12" w:space="0" w:color="auto"/>
              <w:left w:val="single" w:sz="4" w:space="0" w:color="auto"/>
              <w:bottom w:val="single" w:sz="12" w:space="0" w:color="auto"/>
              <w:right w:val="single" w:sz="4" w:space="0" w:color="auto"/>
            </w:tcBorders>
            <w:shd w:val="clear" w:color="auto" w:fill="E8E8E8"/>
            <w:noWrap/>
            <w:vAlign w:val="center"/>
            <w:hideMark/>
          </w:tcPr>
          <w:p w14:paraId="4D17C7FD" w14:textId="33163A21" w:rsidR="00543FA4" w:rsidRPr="00FC0A1A" w:rsidRDefault="00543FA4" w:rsidP="00543FA4">
            <w:pPr>
              <w:jc w:val="right"/>
              <w:rPr>
                <w:rFonts w:eastAsia="Times New Roman" w:cs="Times New Roman"/>
                <w:b/>
                <w:bCs/>
                <w:color w:val="000000"/>
                <w:kern w:val="0"/>
                <w:sz w:val="20"/>
                <w:szCs w:val="20"/>
                <w:lang w:eastAsia="en-GB"/>
                <w14:ligatures w14:val="none"/>
              </w:rPr>
            </w:pPr>
            <w:r>
              <w:rPr>
                <w:b/>
                <w:bCs/>
                <w:color w:val="000000"/>
                <w:sz w:val="20"/>
                <w:szCs w:val="20"/>
              </w:rPr>
              <w:t>21,445</w:t>
            </w:r>
          </w:p>
        </w:tc>
        <w:tc>
          <w:tcPr>
            <w:tcW w:w="1134" w:type="dxa"/>
            <w:tcBorders>
              <w:top w:val="single" w:sz="12" w:space="0" w:color="auto"/>
              <w:left w:val="nil"/>
              <w:bottom w:val="single" w:sz="12" w:space="0" w:color="auto"/>
              <w:right w:val="single" w:sz="4" w:space="0" w:color="auto"/>
            </w:tcBorders>
            <w:shd w:val="clear" w:color="auto" w:fill="E8E8E8"/>
            <w:noWrap/>
            <w:vAlign w:val="center"/>
            <w:hideMark/>
          </w:tcPr>
          <w:p w14:paraId="24600490" w14:textId="5D0E4216" w:rsidR="00543FA4" w:rsidRPr="00FC0A1A" w:rsidRDefault="00543FA4" w:rsidP="00543FA4">
            <w:pPr>
              <w:jc w:val="right"/>
              <w:rPr>
                <w:rFonts w:eastAsia="Times New Roman" w:cs="Times New Roman"/>
                <w:b/>
                <w:bCs/>
                <w:color w:val="000000"/>
                <w:kern w:val="0"/>
                <w:sz w:val="20"/>
                <w:szCs w:val="20"/>
                <w:lang w:eastAsia="en-GB"/>
                <w14:ligatures w14:val="none"/>
              </w:rPr>
            </w:pPr>
            <w:r>
              <w:rPr>
                <w:b/>
                <w:bCs/>
                <w:color w:val="000000"/>
                <w:sz w:val="20"/>
                <w:szCs w:val="20"/>
              </w:rPr>
              <w:t>22,105</w:t>
            </w:r>
          </w:p>
        </w:tc>
        <w:tc>
          <w:tcPr>
            <w:tcW w:w="1134" w:type="dxa"/>
            <w:tcBorders>
              <w:top w:val="single" w:sz="12" w:space="0" w:color="auto"/>
              <w:left w:val="single" w:sz="4" w:space="0" w:color="auto"/>
              <w:bottom w:val="single" w:sz="12" w:space="0" w:color="auto"/>
              <w:right w:val="single" w:sz="12" w:space="0" w:color="auto"/>
            </w:tcBorders>
            <w:shd w:val="clear" w:color="auto" w:fill="E8E8E8"/>
            <w:noWrap/>
            <w:vAlign w:val="center"/>
            <w:hideMark/>
          </w:tcPr>
          <w:p w14:paraId="129BBF03" w14:textId="2DAFDACE" w:rsidR="00543FA4" w:rsidRPr="00FC0A1A" w:rsidRDefault="00543FA4" w:rsidP="00543FA4">
            <w:pPr>
              <w:jc w:val="right"/>
              <w:rPr>
                <w:rFonts w:eastAsia="Times New Roman" w:cs="Times New Roman"/>
                <w:b/>
                <w:bCs/>
                <w:color w:val="000000"/>
                <w:kern w:val="0"/>
                <w:sz w:val="20"/>
                <w:szCs w:val="20"/>
                <w:lang w:eastAsia="en-GB"/>
                <w14:ligatures w14:val="none"/>
              </w:rPr>
            </w:pPr>
            <w:r>
              <w:rPr>
                <w:b/>
                <w:bCs/>
                <w:color w:val="000000"/>
                <w:sz w:val="20"/>
                <w:szCs w:val="20"/>
              </w:rPr>
              <w:t>23,024</w:t>
            </w:r>
          </w:p>
        </w:tc>
      </w:tr>
    </w:tbl>
    <w:p w14:paraId="338F384C" w14:textId="12681A06" w:rsidR="00802149" w:rsidRDefault="00802149"/>
    <w:p w14:paraId="220E661A" w14:textId="05B7ADB9" w:rsidR="6D4DE331" w:rsidRDefault="6D4DE331"/>
    <w:p w14:paraId="1FEC40D5" w14:textId="041850B3" w:rsidR="6D4DE331" w:rsidRDefault="6D4DE331">
      <w:r>
        <w:br w:type="page"/>
      </w:r>
    </w:p>
    <w:p w14:paraId="75B35715" w14:textId="2B7342B1" w:rsidR="6D4DE331" w:rsidRDefault="6D4DE331" w:rsidP="6D4DE331"/>
    <w:p w14:paraId="13EEC189" w14:textId="1154454F" w:rsidR="00C26AA6" w:rsidRDefault="00802149" w:rsidP="00DC6B18">
      <w:pPr>
        <w:pStyle w:val="Heading4"/>
        <w:jc w:val="center"/>
      </w:pPr>
      <w:r>
        <w:t xml:space="preserve">Appendix </w:t>
      </w:r>
      <w:r w:rsidR="00B079CB">
        <w:t>4</w:t>
      </w:r>
      <w:r>
        <w:t xml:space="preserve"> </w:t>
      </w:r>
      <w:r w:rsidR="00276E84" w:rsidRPr="009D7A02">
        <w:rPr>
          <w:rFonts w:ascii="Inter" w:hAnsi="Inter" w:cs="Arial"/>
          <w:bCs/>
        </w:rPr>
        <w:t>Revenue Reserves Summary 2026/27</w:t>
      </w:r>
      <w:r>
        <w:br/>
      </w:r>
    </w:p>
    <w:tbl>
      <w:tblPr>
        <w:tblW w:w="9758" w:type="dxa"/>
        <w:tblLook w:val="04A0" w:firstRow="1" w:lastRow="0" w:firstColumn="1" w:lastColumn="0" w:noHBand="0" w:noVBand="1"/>
      </w:tblPr>
      <w:tblGrid>
        <w:gridCol w:w="4980"/>
        <w:gridCol w:w="1701"/>
        <w:gridCol w:w="1500"/>
        <w:gridCol w:w="1577"/>
      </w:tblGrid>
      <w:tr w:rsidR="002B2A2D" w:rsidRPr="002B2A2D" w14:paraId="089600D6" w14:textId="77777777" w:rsidTr="7DC21327">
        <w:trPr>
          <w:trHeight w:val="794"/>
        </w:trPr>
        <w:tc>
          <w:tcPr>
            <w:tcW w:w="4980" w:type="dxa"/>
            <w:tcBorders>
              <w:top w:val="single" w:sz="12" w:space="0" w:color="auto"/>
              <w:left w:val="single" w:sz="12" w:space="0" w:color="auto"/>
              <w:bottom w:val="nil"/>
              <w:right w:val="single" w:sz="12" w:space="0" w:color="auto"/>
            </w:tcBorders>
            <w:shd w:val="clear" w:color="auto" w:fill="E8E8E8"/>
            <w:noWrap/>
            <w:hideMark/>
          </w:tcPr>
          <w:p w14:paraId="40F17CC1" w14:textId="77777777" w:rsidR="002B2A2D" w:rsidRPr="002B2A2D" w:rsidRDefault="002B2A2D" w:rsidP="002B2A2D">
            <w:pPr>
              <w:jc w:val="cente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Revenue Reserve Description</w:t>
            </w:r>
            <w:r w:rsidRPr="002B2A2D">
              <w:rPr>
                <w:rFonts w:eastAsia="Times New Roman" w:cs="Times New Roman"/>
                <w:b/>
                <w:bCs/>
                <w:color w:val="FF0000"/>
                <w:kern w:val="0"/>
                <w:sz w:val="20"/>
                <w:szCs w:val="20"/>
                <w:lang w:eastAsia="en-GB"/>
                <w14:ligatures w14:val="none"/>
              </w:rPr>
              <w:t> </w:t>
            </w:r>
          </w:p>
        </w:tc>
        <w:tc>
          <w:tcPr>
            <w:tcW w:w="1701" w:type="dxa"/>
            <w:tcBorders>
              <w:top w:val="single" w:sz="12" w:space="0" w:color="auto"/>
              <w:left w:val="nil"/>
              <w:bottom w:val="nil"/>
              <w:right w:val="single" w:sz="4" w:space="0" w:color="auto"/>
            </w:tcBorders>
            <w:shd w:val="clear" w:color="auto" w:fill="E8E8E8"/>
            <w:hideMark/>
          </w:tcPr>
          <w:p w14:paraId="0B4BE1FE" w14:textId="77777777" w:rsidR="002B2A2D" w:rsidRPr="002B2A2D" w:rsidRDefault="002B2A2D" w:rsidP="002B2A2D">
            <w:pPr>
              <w:jc w:val="cente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Balance as at 01/04/2026</w:t>
            </w:r>
          </w:p>
        </w:tc>
        <w:tc>
          <w:tcPr>
            <w:tcW w:w="1500" w:type="dxa"/>
            <w:tcBorders>
              <w:top w:val="single" w:sz="12" w:space="0" w:color="auto"/>
              <w:left w:val="single" w:sz="4" w:space="0" w:color="auto"/>
              <w:bottom w:val="nil"/>
              <w:right w:val="single" w:sz="4" w:space="0" w:color="auto"/>
            </w:tcBorders>
            <w:shd w:val="clear" w:color="auto" w:fill="E8E8E8"/>
            <w:hideMark/>
          </w:tcPr>
          <w:p w14:paraId="792973A2" w14:textId="00B7AD8C" w:rsidR="002B2A2D" w:rsidRPr="002B2A2D" w:rsidRDefault="55587AFE" w:rsidP="002B2A2D">
            <w:pPr>
              <w:jc w:val="cente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Fore</w:t>
            </w:r>
            <w:r w:rsidR="2B6D3FFE" w:rsidRPr="002B2A2D">
              <w:rPr>
                <w:rFonts w:eastAsia="Times New Roman" w:cs="Times New Roman"/>
                <w:b/>
                <w:bCs/>
                <w:color w:val="000000"/>
                <w:kern w:val="0"/>
                <w:sz w:val="20"/>
                <w:szCs w:val="20"/>
                <w:lang w:eastAsia="en-GB"/>
                <w14:ligatures w14:val="none"/>
              </w:rPr>
              <w:t>ca</w:t>
            </w:r>
            <w:r w:rsidRPr="002B2A2D">
              <w:rPr>
                <w:rFonts w:eastAsia="Times New Roman" w:cs="Times New Roman"/>
                <w:b/>
                <w:bCs/>
                <w:color w:val="000000"/>
                <w:kern w:val="0"/>
                <w:sz w:val="20"/>
                <w:szCs w:val="20"/>
                <w:lang w:eastAsia="en-GB"/>
                <w14:ligatures w14:val="none"/>
              </w:rPr>
              <w:t>st (Use</w:t>
            </w:r>
            <w:r w:rsidR="7F81678F" w:rsidRPr="002B2A2D">
              <w:rPr>
                <w:rFonts w:eastAsia="Times New Roman" w:cs="Times New Roman"/>
                <w:b/>
                <w:bCs/>
                <w:color w:val="000000"/>
                <w:kern w:val="0"/>
                <w:sz w:val="20"/>
                <w:szCs w:val="20"/>
                <w:lang w:eastAsia="en-GB"/>
                <w14:ligatures w14:val="none"/>
              </w:rPr>
              <w:t>)/</w:t>
            </w:r>
            <w:r w:rsidRPr="002B2A2D">
              <w:rPr>
                <w:rFonts w:eastAsia="Times New Roman" w:cs="Times New Roman"/>
                <w:b/>
                <w:bCs/>
                <w:color w:val="000000"/>
                <w:kern w:val="0"/>
                <w:sz w:val="20"/>
                <w:szCs w:val="20"/>
                <w:lang w:eastAsia="en-GB"/>
                <w14:ligatures w14:val="none"/>
              </w:rPr>
              <w:t xml:space="preserve"> Contribution</w:t>
            </w:r>
          </w:p>
        </w:tc>
        <w:tc>
          <w:tcPr>
            <w:tcW w:w="1577" w:type="dxa"/>
            <w:tcBorders>
              <w:top w:val="single" w:sz="12" w:space="0" w:color="auto"/>
              <w:left w:val="single" w:sz="4" w:space="0" w:color="auto"/>
              <w:bottom w:val="nil"/>
              <w:right w:val="single" w:sz="12" w:space="0" w:color="auto"/>
            </w:tcBorders>
            <w:shd w:val="clear" w:color="auto" w:fill="E8E8E8"/>
            <w:hideMark/>
          </w:tcPr>
          <w:p w14:paraId="46460E0E" w14:textId="77777777" w:rsidR="002B2A2D" w:rsidRPr="002B2A2D" w:rsidRDefault="002B2A2D" w:rsidP="002B2A2D">
            <w:pPr>
              <w:jc w:val="cente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Balance as at 31/3/2027</w:t>
            </w:r>
          </w:p>
        </w:tc>
      </w:tr>
      <w:tr w:rsidR="002B2A2D" w:rsidRPr="002B2A2D" w14:paraId="2008746A" w14:textId="77777777" w:rsidTr="7DC21327">
        <w:trPr>
          <w:trHeight w:val="310"/>
        </w:trPr>
        <w:tc>
          <w:tcPr>
            <w:tcW w:w="4980" w:type="dxa"/>
            <w:tcBorders>
              <w:top w:val="nil"/>
              <w:left w:val="single" w:sz="12" w:space="0" w:color="auto"/>
              <w:bottom w:val="single" w:sz="12" w:space="0" w:color="auto"/>
              <w:right w:val="single" w:sz="12" w:space="0" w:color="auto"/>
            </w:tcBorders>
            <w:shd w:val="clear" w:color="auto" w:fill="D0D0D0" w:themeFill="accent2" w:themeFillTint="99"/>
            <w:noWrap/>
            <w:vAlign w:val="bottom"/>
            <w:hideMark/>
          </w:tcPr>
          <w:p w14:paraId="7DAACBBC" w14:textId="77777777" w:rsidR="002B2A2D" w:rsidRPr="002B2A2D" w:rsidRDefault="002B2A2D" w:rsidP="002B2A2D">
            <w:pPr>
              <w:rPr>
                <w:rFonts w:eastAsia="Times New Roman" w:cs="Times New Roman"/>
                <w:b/>
                <w:bCs/>
                <w:color w:val="FF0000"/>
                <w:kern w:val="0"/>
                <w:sz w:val="20"/>
                <w:szCs w:val="20"/>
                <w:lang w:eastAsia="en-GB"/>
                <w14:ligatures w14:val="none"/>
              </w:rPr>
            </w:pPr>
            <w:r w:rsidRPr="002B2A2D">
              <w:rPr>
                <w:rFonts w:eastAsia="Times New Roman" w:cs="Times New Roman"/>
                <w:b/>
                <w:bCs/>
                <w:color w:val="FF0000"/>
                <w:kern w:val="0"/>
                <w:sz w:val="20"/>
                <w:szCs w:val="20"/>
                <w:lang w:eastAsia="en-GB"/>
                <w14:ligatures w14:val="none"/>
              </w:rPr>
              <w:t> </w:t>
            </w:r>
          </w:p>
        </w:tc>
        <w:tc>
          <w:tcPr>
            <w:tcW w:w="1701" w:type="dxa"/>
            <w:tcBorders>
              <w:top w:val="nil"/>
              <w:left w:val="nil"/>
              <w:bottom w:val="single" w:sz="12" w:space="0" w:color="auto"/>
              <w:right w:val="single" w:sz="4" w:space="0" w:color="auto"/>
            </w:tcBorders>
            <w:shd w:val="clear" w:color="auto" w:fill="D0D0D0" w:themeFill="accent2" w:themeFillTint="99"/>
            <w:noWrap/>
            <w:vAlign w:val="bottom"/>
            <w:hideMark/>
          </w:tcPr>
          <w:p w14:paraId="1C56DBC4" w14:textId="77777777" w:rsidR="002B2A2D" w:rsidRPr="002B2A2D" w:rsidRDefault="002B2A2D" w:rsidP="002B2A2D">
            <w:pPr>
              <w:jc w:val="cente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£'000</w:t>
            </w:r>
          </w:p>
        </w:tc>
        <w:tc>
          <w:tcPr>
            <w:tcW w:w="1500" w:type="dxa"/>
            <w:tcBorders>
              <w:top w:val="nil"/>
              <w:left w:val="nil"/>
              <w:bottom w:val="single" w:sz="12" w:space="0" w:color="auto"/>
              <w:right w:val="single" w:sz="4" w:space="0" w:color="auto"/>
            </w:tcBorders>
            <w:shd w:val="clear" w:color="auto" w:fill="D0D0D0" w:themeFill="accent2" w:themeFillTint="99"/>
            <w:noWrap/>
            <w:vAlign w:val="bottom"/>
            <w:hideMark/>
          </w:tcPr>
          <w:p w14:paraId="4B39BA68" w14:textId="77777777" w:rsidR="002B2A2D" w:rsidRPr="002B2A2D" w:rsidRDefault="002B2A2D" w:rsidP="002B2A2D">
            <w:pPr>
              <w:jc w:val="cente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£'000</w:t>
            </w:r>
          </w:p>
        </w:tc>
        <w:tc>
          <w:tcPr>
            <w:tcW w:w="1577" w:type="dxa"/>
            <w:tcBorders>
              <w:top w:val="nil"/>
              <w:left w:val="nil"/>
              <w:bottom w:val="single" w:sz="12" w:space="0" w:color="auto"/>
              <w:right w:val="single" w:sz="12" w:space="0" w:color="auto"/>
            </w:tcBorders>
            <w:shd w:val="clear" w:color="auto" w:fill="D0D0D0" w:themeFill="accent2" w:themeFillTint="99"/>
            <w:noWrap/>
            <w:vAlign w:val="bottom"/>
            <w:hideMark/>
          </w:tcPr>
          <w:p w14:paraId="00B0F736" w14:textId="77777777" w:rsidR="002B2A2D" w:rsidRPr="002B2A2D" w:rsidRDefault="002B2A2D" w:rsidP="002B2A2D">
            <w:pPr>
              <w:jc w:val="cente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£'000</w:t>
            </w:r>
          </w:p>
        </w:tc>
      </w:tr>
      <w:tr w:rsidR="006274D5" w:rsidRPr="002B2A2D" w14:paraId="256FC144" w14:textId="77777777" w:rsidTr="7DC21327">
        <w:trPr>
          <w:trHeight w:val="310"/>
        </w:trPr>
        <w:tc>
          <w:tcPr>
            <w:tcW w:w="4980" w:type="dxa"/>
            <w:tcBorders>
              <w:top w:val="single" w:sz="4" w:space="0" w:color="auto"/>
              <w:left w:val="single" w:sz="12" w:space="0" w:color="auto"/>
              <w:bottom w:val="single" w:sz="4" w:space="0" w:color="auto"/>
              <w:right w:val="single" w:sz="12" w:space="0" w:color="auto"/>
            </w:tcBorders>
            <w:shd w:val="clear" w:color="auto" w:fill="E8E8E8"/>
            <w:noWrap/>
            <w:vAlign w:val="bottom"/>
            <w:hideMark/>
          </w:tcPr>
          <w:p w14:paraId="7F66B6E9"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General Fund</w:t>
            </w:r>
          </w:p>
        </w:tc>
        <w:tc>
          <w:tcPr>
            <w:tcW w:w="1701" w:type="dxa"/>
            <w:tcBorders>
              <w:top w:val="single" w:sz="4" w:space="0" w:color="auto"/>
              <w:left w:val="nil"/>
              <w:bottom w:val="single" w:sz="4" w:space="0" w:color="auto"/>
              <w:right w:val="single" w:sz="4" w:space="0" w:color="auto"/>
            </w:tcBorders>
            <w:noWrap/>
            <w:vAlign w:val="center"/>
            <w:hideMark/>
          </w:tcPr>
          <w:p w14:paraId="2283FB06" w14:textId="761D5320"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1,058</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C41E67A" w14:textId="2C3EEBD3"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single" w:sz="4" w:space="0" w:color="auto"/>
              <w:left w:val="single" w:sz="4" w:space="0" w:color="auto"/>
              <w:bottom w:val="single" w:sz="4" w:space="0" w:color="auto"/>
              <w:right w:val="single" w:sz="12" w:space="0" w:color="auto"/>
            </w:tcBorders>
            <w:noWrap/>
            <w:vAlign w:val="center"/>
            <w:hideMark/>
          </w:tcPr>
          <w:p w14:paraId="4733B33B" w14:textId="01BB057A"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1,058</w:t>
            </w:r>
          </w:p>
        </w:tc>
      </w:tr>
      <w:tr w:rsidR="006274D5" w:rsidRPr="002B2A2D" w14:paraId="06A05296" w14:textId="77777777" w:rsidTr="7DC21327">
        <w:trPr>
          <w:trHeight w:val="310"/>
        </w:trPr>
        <w:tc>
          <w:tcPr>
            <w:tcW w:w="498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4B561795" w14:textId="77777777" w:rsidR="006274D5" w:rsidRPr="002B2A2D" w:rsidRDefault="006274D5" w:rsidP="006274D5">
            <w:pP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General Fund Total</w:t>
            </w:r>
          </w:p>
        </w:tc>
        <w:tc>
          <w:tcPr>
            <w:tcW w:w="1701" w:type="dxa"/>
            <w:tcBorders>
              <w:top w:val="single" w:sz="12" w:space="0" w:color="auto"/>
              <w:left w:val="nil"/>
              <w:bottom w:val="single" w:sz="12" w:space="0" w:color="auto"/>
              <w:right w:val="single" w:sz="4" w:space="0" w:color="auto"/>
            </w:tcBorders>
            <w:shd w:val="clear" w:color="auto" w:fill="E8E8E8"/>
            <w:noWrap/>
            <w:vAlign w:val="center"/>
            <w:hideMark/>
          </w:tcPr>
          <w:p w14:paraId="40D38CB7" w14:textId="4DB4F7EC"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1,058</w:t>
            </w:r>
          </w:p>
        </w:tc>
        <w:tc>
          <w:tcPr>
            <w:tcW w:w="1500" w:type="dxa"/>
            <w:tcBorders>
              <w:top w:val="single" w:sz="12" w:space="0" w:color="auto"/>
              <w:left w:val="single" w:sz="4" w:space="0" w:color="auto"/>
              <w:bottom w:val="single" w:sz="12" w:space="0" w:color="auto"/>
              <w:right w:val="single" w:sz="4" w:space="0" w:color="auto"/>
            </w:tcBorders>
            <w:shd w:val="clear" w:color="auto" w:fill="E8E8E8"/>
            <w:noWrap/>
            <w:vAlign w:val="center"/>
            <w:hideMark/>
          </w:tcPr>
          <w:p w14:paraId="0ECA1D4D" w14:textId="181E2D57"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w:t>
            </w:r>
          </w:p>
        </w:tc>
        <w:tc>
          <w:tcPr>
            <w:tcW w:w="1577" w:type="dxa"/>
            <w:tcBorders>
              <w:top w:val="single" w:sz="12" w:space="0" w:color="auto"/>
              <w:left w:val="single" w:sz="4" w:space="0" w:color="auto"/>
              <w:bottom w:val="single" w:sz="12" w:space="0" w:color="auto"/>
              <w:right w:val="single" w:sz="12" w:space="0" w:color="auto"/>
            </w:tcBorders>
            <w:shd w:val="clear" w:color="auto" w:fill="E8E8E8"/>
            <w:noWrap/>
            <w:vAlign w:val="center"/>
            <w:hideMark/>
          </w:tcPr>
          <w:p w14:paraId="7AD2DE1F" w14:textId="432C7A13"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1,058</w:t>
            </w:r>
          </w:p>
        </w:tc>
      </w:tr>
      <w:tr w:rsidR="006274D5" w:rsidRPr="002B2A2D" w14:paraId="244698E5" w14:textId="77777777" w:rsidTr="7DC21327">
        <w:trPr>
          <w:trHeight w:val="31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4F8CF9C4" w14:textId="77777777" w:rsidR="006274D5" w:rsidRPr="002B2A2D" w:rsidRDefault="006274D5" w:rsidP="006274D5">
            <w:pP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Earmarked reserves – non-ringfenced</w:t>
            </w:r>
            <w:r w:rsidRPr="002B2A2D">
              <w:rPr>
                <w:rFonts w:eastAsia="Times New Roman" w:cs="Times New Roman"/>
                <w:color w:val="000000"/>
                <w:kern w:val="0"/>
                <w:sz w:val="20"/>
                <w:szCs w:val="20"/>
                <w:lang w:eastAsia="en-GB"/>
                <w14:ligatures w14:val="none"/>
              </w:rPr>
              <w:t> </w:t>
            </w:r>
          </w:p>
        </w:tc>
        <w:tc>
          <w:tcPr>
            <w:tcW w:w="1701" w:type="dxa"/>
            <w:tcBorders>
              <w:top w:val="nil"/>
              <w:left w:val="nil"/>
              <w:bottom w:val="single" w:sz="4" w:space="0" w:color="auto"/>
              <w:right w:val="single" w:sz="4" w:space="0" w:color="auto"/>
            </w:tcBorders>
            <w:noWrap/>
            <w:vAlign w:val="center"/>
            <w:hideMark/>
          </w:tcPr>
          <w:p w14:paraId="6E56B3A9" w14:textId="1C53F0BD" w:rsidR="006274D5" w:rsidRPr="002B2A2D" w:rsidRDefault="006274D5" w:rsidP="006274D5">
            <w:pPr>
              <w:jc w:val="right"/>
              <w:rPr>
                <w:rFonts w:eastAsia="Times New Roman" w:cs="Times New Roman"/>
                <w:color w:val="000000"/>
                <w:kern w:val="0"/>
                <w:sz w:val="20"/>
                <w:szCs w:val="20"/>
                <w:lang w:eastAsia="en-GB"/>
                <w14:ligatures w14:val="none"/>
              </w:rPr>
            </w:pPr>
          </w:p>
        </w:tc>
        <w:tc>
          <w:tcPr>
            <w:tcW w:w="1500" w:type="dxa"/>
            <w:tcBorders>
              <w:top w:val="single" w:sz="12" w:space="0" w:color="auto"/>
              <w:left w:val="nil"/>
              <w:bottom w:val="single" w:sz="4" w:space="0" w:color="auto"/>
              <w:right w:val="single" w:sz="4" w:space="0" w:color="auto"/>
            </w:tcBorders>
            <w:noWrap/>
            <w:vAlign w:val="center"/>
            <w:hideMark/>
          </w:tcPr>
          <w:p w14:paraId="0F3743F9" w14:textId="5B474139" w:rsidR="006274D5" w:rsidRPr="002B2A2D" w:rsidRDefault="006274D5" w:rsidP="006274D5">
            <w:pPr>
              <w:jc w:val="right"/>
              <w:rPr>
                <w:rFonts w:eastAsia="Times New Roman" w:cs="Times New Roman"/>
                <w:color w:val="000000"/>
                <w:kern w:val="0"/>
                <w:sz w:val="20"/>
                <w:szCs w:val="20"/>
                <w:lang w:eastAsia="en-GB"/>
                <w14:ligatures w14:val="none"/>
              </w:rPr>
            </w:pPr>
          </w:p>
        </w:tc>
        <w:tc>
          <w:tcPr>
            <w:tcW w:w="1577" w:type="dxa"/>
            <w:tcBorders>
              <w:top w:val="nil"/>
              <w:left w:val="nil"/>
              <w:bottom w:val="single" w:sz="4" w:space="0" w:color="auto"/>
              <w:right w:val="single" w:sz="12" w:space="0" w:color="auto"/>
            </w:tcBorders>
            <w:noWrap/>
            <w:vAlign w:val="center"/>
            <w:hideMark/>
          </w:tcPr>
          <w:p w14:paraId="56375862" w14:textId="579E1B3F" w:rsidR="006274D5" w:rsidRPr="002B2A2D" w:rsidRDefault="006274D5" w:rsidP="006274D5">
            <w:pPr>
              <w:jc w:val="right"/>
              <w:rPr>
                <w:rFonts w:eastAsia="Times New Roman" w:cs="Times New Roman"/>
                <w:color w:val="000000"/>
                <w:kern w:val="0"/>
                <w:sz w:val="20"/>
                <w:szCs w:val="20"/>
                <w:lang w:eastAsia="en-GB"/>
                <w14:ligatures w14:val="none"/>
              </w:rPr>
            </w:pPr>
          </w:p>
        </w:tc>
      </w:tr>
      <w:tr w:rsidR="006274D5" w:rsidRPr="002B2A2D" w14:paraId="6A897434" w14:textId="77777777" w:rsidTr="7DC21327">
        <w:trPr>
          <w:trHeight w:val="31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4364553E"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Adult Education Budget</w:t>
            </w:r>
          </w:p>
        </w:tc>
        <w:tc>
          <w:tcPr>
            <w:tcW w:w="1701" w:type="dxa"/>
            <w:tcBorders>
              <w:top w:val="nil"/>
              <w:left w:val="nil"/>
              <w:bottom w:val="single" w:sz="4" w:space="0" w:color="auto"/>
              <w:right w:val="single" w:sz="4" w:space="0" w:color="auto"/>
            </w:tcBorders>
            <w:noWrap/>
            <w:vAlign w:val="center"/>
            <w:hideMark/>
          </w:tcPr>
          <w:p w14:paraId="7B27135F" w14:textId="50A01DBC"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5,659</w:t>
            </w:r>
          </w:p>
        </w:tc>
        <w:tc>
          <w:tcPr>
            <w:tcW w:w="1500" w:type="dxa"/>
            <w:tcBorders>
              <w:top w:val="nil"/>
              <w:left w:val="single" w:sz="4" w:space="0" w:color="auto"/>
              <w:bottom w:val="single" w:sz="4" w:space="0" w:color="auto"/>
              <w:right w:val="single" w:sz="4" w:space="0" w:color="auto"/>
            </w:tcBorders>
            <w:noWrap/>
            <w:vAlign w:val="center"/>
            <w:hideMark/>
          </w:tcPr>
          <w:p w14:paraId="251F1A46" w14:textId="29A18878"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(2,497)</w:t>
            </w:r>
          </w:p>
        </w:tc>
        <w:tc>
          <w:tcPr>
            <w:tcW w:w="1577" w:type="dxa"/>
            <w:tcBorders>
              <w:top w:val="nil"/>
              <w:left w:val="single" w:sz="4" w:space="0" w:color="auto"/>
              <w:bottom w:val="single" w:sz="4" w:space="0" w:color="auto"/>
              <w:right w:val="single" w:sz="12" w:space="0" w:color="auto"/>
            </w:tcBorders>
            <w:noWrap/>
            <w:vAlign w:val="center"/>
            <w:hideMark/>
          </w:tcPr>
          <w:p w14:paraId="353FC586" w14:textId="62E5D3D6"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3,162</w:t>
            </w:r>
          </w:p>
        </w:tc>
      </w:tr>
      <w:tr w:rsidR="006274D5" w:rsidRPr="002B2A2D" w14:paraId="35613843" w14:textId="77777777" w:rsidTr="7DC21327">
        <w:trPr>
          <w:trHeight w:val="31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363BD684"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Kickstart</w:t>
            </w:r>
          </w:p>
        </w:tc>
        <w:tc>
          <w:tcPr>
            <w:tcW w:w="1701" w:type="dxa"/>
            <w:tcBorders>
              <w:top w:val="nil"/>
              <w:left w:val="nil"/>
              <w:bottom w:val="single" w:sz="4" w:space="0" w:color="auto"/>
              <w:right w:val="single" w:sz="4" w:space="0" w:color="auto"/>
            </w:tcBorders>
            <w:noWrap/>
            <w:vAlign w:val="center"/>
            <w:hideMark/>
          </w:tcPr>
          <w:p w14:paraId="30A167D0" w14:textId="691F4A93"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238</w:t>
            </w:r>
          </w:p>
        </w:tc>
        <w:tc>
          <w:tcPr>
            <w:tcW w:w="1500" w:type="dxa"/>
            <w:tcBorders>
              <w:top w:val="nil"/>
              <w:left w:val="single" w:sz="4" w:space="0" w:color="auto"/>
              <w:bottom w:val="single" w:sz="4" w:space="0" w:color="auto"/>
              <w:right w:val="single" w:sz="4" w:space="0" w:color="auto"/>
            </w:tcBorders>
            <w:noWrap/>
            <w:vAlign w:val="center"/>
            <w:hideMark/>
          </w:tcPr>
          <w:p w14:paraId="3B185295" w14:textId="7E076B6F"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2F24E490" w14:textId="0DA737FD"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238</w:t>
            </w:r>
          </w:p>
        </w:tc>
      </w:tr>
      <w:tr w:rsidR="006274D5" w:rsidRPr="002B2A2D" w14:paraId="2C08C15A" w14:textId="77777777" w:rsidTr="7DC21327">
        <w:trPr>
          <w:trHeight w:val="30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6DB834E9" w14:textId="0E5BEFCB"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Concessionary Fares - Ring fenced </w:t>
            </w:r>
          </w:p>
        </w:tc>
        <w:tc>
          <w:tcPr>
            <w:tcW w:w="1701" w:type="dxa"/>
            <w:tcBorders>
              <w:top w:val="nil"/>
              <w:left w:val="nil"/>
              <w:bottom w:val="single" w:sz="4" w:space="0" w:color="auto"/>
              <w:right w:val="single" w:sz="4" w:space="0" w:color="auto"/>
            </w:tcBorders>
            <w:noWrap/>
            <w:vAlign w:val="center"/>
            <w:hideMark/>
          </w:tcPr>
          <w:p w14:paraId="4ED2AEED" w14:textId="02CEBE2C"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470</w:t>
            </w:r>
          </w:p>
        </w:tc>
        <w:tc>
          <w:tcPr>
            <w:tcW w:w="1500" w:type="dxa"/>
            <w:tcBorders>
              <w:top w:val="nil"/>
              <w:left w:val="single" w:sz="4" w:space="0" w:color="auto"/>
              <w:bottom w:val="single" w:sz="4" w:space="0" w:color="auto"/>
              <w:right w:val="single" w:sz="4" w:space="0" w:color="auto"/>
            </w:tcBorders>
            <w:noWrap/>
            <w:vAlign w:val="center"/>
            <w:hideMark/>
          </w:tcPr>
          <w:p w14:paraId="038DA3AD" w14:textId="6906B494"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6BCCD4B3" w14:textId="6EB2811F"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470</w:t>
            </w:r>
          </w:p>
        </w:tc>
      </w:tr>
      <w:tr w:rsidR="006274D5" w:rsidRPr="002B2A2D" w14:paraId="56B11150" w14:textId="77777777" w:rsidTr="7DC21327">
        <w:trPr>
          <w:trHeight w:val="30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66EE69F1"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DECC City Deal CCS Project</w:t>
            </w:r>
          </w:p>
        </w:tc>
        <w:tc>
          <w:tcPr>
            <w:tcW w:w="1701" w:type="dxa"/>
            <w:tcBorders>
              <w:top w:val="nil"/>
              <w:left w:val="nil"/>
              <w:bottom w:val="single" w:sz="4" w:space="0" w:color="auto"/>
              <w:right w:val="single" w:sz="4" w:space="0" w:color="auto"/>
            </w:tcBorders>
            <w:noWrap/>
            <w:vAlign w:val="center"/>
            <w:hideMark/>
          </w:tcPr>
          <w:p w14:paraId="636330FE" w14:textId="17736978"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51</w:t>
            </w:r>
          </w:p>
        </w:tc>
        <w:tc>
          <w:tcPr>
            <w:tcW w:w="1500" w:type="dxa"/>
            <w:tcBorders>
              <w:top w:val="nil"/>
              <w:left w:val="single" w:sz="4" w:space="0" w:color="auto"/>
              <w:bottom w:val="single" w:sz="4" w:space="0" w:color="auto"/>
              <w:right w:val="single" w:sz="4" w:space="0" w:color="auto"/>
            </w:tcBorders>
            <w:noWrap/>
            <w:vAlign w:val="center"/>
            <w:hideMark/>
          </w:tcPr>
          <w:p w14:paraId="6F5B766F" w14:textId="77F2AC7A"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22DB6B53" w14:textId="12E1EEBB"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51</w:t>
            </w:r>
          </w:p>
        </w:tc>
      </w:tr>
      <w:tr w:rsidR="006274D5" w:rsidRPr="002B2A2D" w14:paraId="35E2D9B8" w14:textId="77777777" w:rsidTr="7DC21327">
        <w:trPr>
          <w:trHeight w:val="30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61F212CF"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Low Carbon Action Plan</w:t>
            </w:r>
          </w:p>
        </w:tc>
        <w:tc>
          <w:tcPr>
            <w:tcW w:w="1701" w:type="dxa"/>
            <w:tcBorders>
              <w:top w:val="nil"/>
              <w:left w:val="nil"/>
              <w:bottom w:val="single" w:sz="4" w:space="0" w:color="auto"/>
              <w:right w:val="single" w:sz="4" w:space="0" w:color="auto"/>
            </w:tcBorders>
            <w:noWrap/>
            <w:vAlign w:val="center"/>
            <w:hideMark/>
          </w:tcPr>
          <w:p w14:paraId="1EC88CDB" w14:textId="2AA12CDC"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41</w:t>
            </w:r>
          </w:p>
        </w:tc>
        <w:tc>
          <w:tcPr>
            <w:tcW w:w="1500" w:type="dxa"/>
            <w:tcBorders>
              <w:top w:val="nil"/>
              <w:left w:val="single" w:sz="4" w:space="0" w:color="auto"/>
              <w:bottom w:val="single" w:sz="4" w:space="0" w:color="auto"/>
              <w:right w:val="single" w:sz="4" w:space="0" w:color="auto"/>
            </w:tcBorders>
            <w:noWrap/>
            <w:vAlign w:val="center"/>
            <w:hideMark/>
          </w:tcPr>
          <w:p w14:paraId="0ED0787D" w14:textId="11A8C5D8"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6EAB1F76" w14:textId="43499C89"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41</w:t>
            </w:r>
          </w:p>
        </w:tc>
      </w:tr>
      <w:tr w:rsidR="006274D5" w:rsidRPr="002B2A2D" w14:paraId="27E605D1" w14:textId="77777777" w:rsidTr="7DC2132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5AC73864"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One Public Estate</w:t>
            </w:r>
          </w:p>
        </w:tc>
        <w:tc>
          <w:tcPr>
            <w:tcW w:w="1701" w:type="dxa"/>
            <w:tcBorders>
              <w:top w:val="nil"/>
              <w:left w:val="nil"/>
              <w:bottom w:val="single" w:sz="4" w:space="0" w:color="auto"/>
              <w:right w:val="single" w:sz="4" w:space="0" w:color="auto"/>
            </w:tcBorders>
            <w:noWrap/>
            <w:vAlign w:val="center"/>
            <w:hideMark/>
          </w:tcPr>
          <w:p w14:paraId="27CB3849" w14:textId="190D0D0D"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54</w:t>
            </w:r>
          </w:p>
        </w:tc>
        <w:tc>
          <w:tcPr>
            <w:tcW w:w="1500" w:type="dxa"/>
            <w:tcBorders>
              <w:top w:val="nil"/>
              <w:left w:val="single" w:sz="4" w:space="0" w:color="auto"/>
              <w:bottom w:val="single" w:sz="4" w:space="0" w:color="auto"/>
              <w:right w:val="single" w:sz="4" w:space="0" w:color="auto"/>
            </w:tcBorders>
            <w:noWrap/>
            <w:vAlign w:val="center"/>
            <w:hideMark/>
          </w:tcPr>
          <w:p w14:paraId="3A3B07D6" w14:textId="1EE5990E"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05A862E1" w14:textId="3AE331E5"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54</w:t>
            </w:r>
          </w:p>
        </w:tc>
      </w:tr>
      <w:tr w:rsidR="006274D5" w:rsidRPr="002B2A2D" w14:paraId="7EB7442C" w14:textId="77777777" w:rsidTr="7DC21327">
        <w:trPr>
          <w:trHeight w:val="30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3E79DF9E"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SSI Apprentices</w:t>
            </w:r>
          </w:p>
        </w:tc>
        <w:tc>
          <w:tcPr>
            <w:tcW w:w="1701" w:type="dxa"/>
            <w:tcBorders>
              <w:top w:val="nil"/>
              <w:left w:val="nil"/>
              <w:bottom w:val="single" w:sz="4" w:space="0" w:color="auto"/>
              <w:right w:val="single" w:sz="4" w:space="0" w:color="auto"/>
            </w:tcBorders>
            <w:noWrap/>
            <w:vAlign w:val="center"/>
            <w:hideMark/>
          </w:tcPr>
          <w:p w14:paraId="64848F2E" w14:textId="773B1005"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453</w:t>
            </w:r>
          </w:p>
        </w:tc>
        <w:tc>
          <w:tcPr>
            <w:tcW w:w="1500" w:type="dxa"/>
            <w:tcBorders>
              <w:top w:val="nil"/>
              <w:left w:val="single" w:sz="4" w:space="0" w:color="auto"/>
              <w:bottom w:val="single" w:sz="4" w:space="0" w:color="auto"/>
              <w:right w:val="single" w:sz="4" w:space="0" w:color="auto"/>
            </w:tcBorders>
            <w:noWrap/>
            <w:vAlign w:val="center"/>
            <w:hideMark/>
          </w:tcPr>
          <w:p w14:paraId="4C75CF4C" w14:textId="213A8776"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5E9E6C8D" w14:textId="1139657E"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453</w:t>
            </w:r>
          </w:p>
        </w:tc>
      </w:tr>
      <w:tr w:rsidR="006274D5" w:rsidRPr="002B2A2D" w14:paraId="377DBBA6" w14:textId="77777777" w:rsidTr="7DC21327">
        <w:trPr>
          <w:trHeight w:val="283"/>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57BF3BDA"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SSI Flexible Fund</w:t>
            </w:r>
          </w:p>
        </w:tc>
        <w:tc>
          <w:tcPr>
            <w:tcW w:w="1701" w:type="dxa"/>
            <w:tcBorders>
              <w:top w:val="nil"/>
              <w:left w:val="nil"/>
              <w:bottom w:val="single" w:sz="4" w:space="0" w:color="auto"/>
              <w:right w:val="single" w:sz="4" w:space="0" w:color="auto"/>
            </w:tcBorders>
            <w:noWrap/>
            <w:vAlign w:val="center"/>
            <w:hideMark/>
          </w:tcPr>
          <w:p w14:paraId="5E67FB60" w14:textId="62FF5F90"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1,507</w:t>
            </w:r>
          </w:p>
        </w:tc>
        <w:tc>
          <w:tcPr>
            <w:tcW w:w="1500" w:type="dxa"/>
            <w:tcBorders>
              <w:top w:val="nil"/>
              <w:left w:val="single" w:sz="4" w:space="0" w:color="auto"/>
              <w:bottom w:val="single" w:sz="4" w:space="0" w:color="auto"/>
              <w:right w:val="single" w:sz="4" w:space="0" w:color="auto"/>
            </w:tcBorders>
            <w:noWrap/>
            <w:vAlign w:val="center"/>
            <w:hideMark/>
          </w:tcPr>
          <w:p w14:paraId="56238244" w14:textId="39BADDC0"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2B49563A" w14:textId="5417B524"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1,507</w:t>
            </w:r>
          </w:p>
        </w:tc>
      </w:tr>
      <w:tr w:rsidR="006274D5" w:rsidRPr="002B2A2D" w14:paraId="4506AE38" w14:textId="77777777" w:rsidTr="7DC21327">
        <w:trPr>
          <w:trHeight w:val="31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6D949B34"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SSI Jobs Investment Scheme</w:t>
            </w:r>
          </w:p>
        </w:tc>
        <w:tc>
          <w:tcPr>
            <w:tcW w:w="1701" w:type="dxa"/>
            <w:tcBorders>
              <w:top w:val="nil"/>
              <w:left w:val="nil"/>
              <w:bottom w:val="single" w:sz="4" w:space="0" w:color="auto"/>
              <w:right w:val="single" w:sz="4" w:space="0" w:color="auto"/>
            </w:tcBorders>
            <w:noWrap/>
            <w:vAlign w:val="center"/>
            <w:hideMark/>
          </w:tcPr>
          <w:p w14:paraId="79131A2A" w14:textId="4613D472"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231</w:t>
            </w:r>
          </w:p>
        </w:tc>
        <w:tc>
          <w:tcPr>
            <w:tcW w:w="1500" w:type="dxa"/>
            <w:tcBorders>
              <w:top w:val="nil"/>
              <w:left w:val="single" w:sz="4" w:space="0" w:color="auto"/>
              <w:bottom w:val="single" w:sz="4" w:space="0" w:color="auto"/>
              <w:right w:val="single" w:sz="4" w:space="0" w:color="auto"/>
            </w:tcBorders>
            <w:noWrap/>
            <w:vAlign w:val="center"/>
            <w:hideMark/>
          </w:tcPr>
          <w:p w14:paraId="6CDFBC42" w14:textId="39806D91"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5E462BAF" w14:textId="798AA5F6"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231</w:t>
            </w:r>
          </w:p>
        </w:tc>
      </w:tr>
      <w:tr w:rsidR="006274D5" w:rsidRPr="002B2A2D" w14:paraId="29719DF9" w14:textId="77777777" w:rsidTr="7DC2132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16F88BF3"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SSI Business Start Up</w:t>
            </w:r>
          </w:p>
        </w:tc>
        <w:tc>
          <w:tcPr>
            <w:tcW w:w="1701" w:type="dxa"/>
            <w:tcBorders>
              <w:top w:val="nil"/>
              <w:left w:val="nil"/>
              <w:bottom w:val="single" w:sz="4" w:space="0" w:color="auto"/>
              <w:right w:val="single" w:sz="4" w:space="0" w:color="auto"/>
            </w:tcBorders>
            <w:noWrap/>
            <w:vAlign w:val="center"/>
            <w:hideMark/>
          </w:tcPr>
          <w:p w14:paraId="581DB268" w14:textId="5E8F0439"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30</w:t>
            </w:r>
          </w:p>
        </w:tc>
        <w:tc>
          <w:tcPr>
            <w:tcW w:w="1500" w:type="dxa"/>
            <w:tcBorders>
              <w:top w:val="nil"/>
              <w:left w:val="single" w:sz="4" w:space="0" w:color="auto"/>
              <w:bottom w:val="single" w:sz="4" w:space="0" w:color="auto"/>
              <w:right w:val="single" w:sz="4" w:space="0" w:color="auto"/>
            </w:tcBorders>
            <w:noWrap/>
            <w:vAlign w:val="center"/>
            <w:hideMark/>
          </w:tcPr>
          <w:p w14:paraId="0652246A" w14:textId="73FF4AD9"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184BA7D0" w14:textId="44259188"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30</w:t>
            </w:r>
          </w:p>
        </w:tc>
      </w:tr>
      <w:tr w:rsidR="006274D5" w:rsidRPr="002B2A2D" w14:paraId="33EB5D1E" w14:textId="77777777" w:rsidTr="7DC2132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06C610E8"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SSI Devolved Pot</w:t>
            </w:r>
          </w:p>
        </w:tc>
        <w:tc>
          <w:tcPr>
            <w:tcW w:w="1701" w:type="dxa"/>
            <w:tcBorders>
              <w:top w:val="nil"/>
              <w:left w:val="nil"/>
              <w:bottom w:val="single" w:sz="4" w:space="0" w:color="auto"/>
              <w:right w:val="single" w:sz="4" w:space="0" w:color="auto"/>
            </w:tcBorders>
            <w:noWrap/>
            <w:vAlign w:val="center"/>
            <w:hideMark/>
          </w:tcPr>
          <w:p w14:paraId="778357A4" w14:textId="7DE44A8C"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1,334</w:t>
            </w:r>
          </w:p>
        </w:tc>
        <w:tc>
          <w:tcPr>
            <w:tcW w:w="1500" w:type="dxa"/>
            <w:tcBorders>
              <w:top w:val="nil"/>
              <w:left w:val="single" w:sz="4" w:space="0" w:color="auto"/>
              <w:bottom w:val="single" w:sz="4" w:space="0" w:color="auto"/>
              <w:right w:val="single" w:sz="4" w:space="0" w:color="auto"/>
            </w:tcBorders>
            <w:noWrap/>
            <w:vAlign w:val="center"/>
            <w:hideMark/>
          </w:tcPr>
          <w:p w14:paraId="04C613BC" w14:textId="1ACE7D75"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3DEFCF2A" w14:textId="46169C35"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1,334</w:t>
            </w:r>
          </w:p>
        </w:tc>
      </w:tr>
      <w:tr w:rsidR="006274D5" w:rsidRPr="002B2A2D" w14:paraId="6FB342C0" w14:textId="77777777" w:rsidTr="7DC2132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67602016"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Beis Net Zero Hub (Rev)</w:t>
            </w:r>
          </w:p>
        </w:tc>
        <w:tc>
          <w:tcPr>
            <w:tcW w:w="1701" w:type="dxa"/>
            <w:tcBorders>
              <w:top w:val="nil"/>
              <w:left w:val="nil"/>
              <w:bottom w:val="single" w:sz="4" w:space="0" w:color="auto"/>
              <w:right w:val="single" w:sz="4" w:space="0" w:color="auto"/>
            </w:tcBorders>
            <w:noWrap/>
            <w:vAlign w:val="center"/>
            <w:hideMark/>
          </w:tcPr>
          <w:p w14:paraId="6DBBE42D" w14:textId="47980053"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1,614</w:t>
            </w:r>
          </w:p>
        </w:tc>
        <w:tc>
          <w:tcPr>
            <w:tcW w:w="1500" w:type="dxa"/>
            <w:tcBorders>
              <w:top w:val="nil"/>
              <w:left w:val="single" w:sz="4" w:space="0" w:color="auto"/>
              <w:bottom w:val="single" w:sz="4" w:space="0" w:color="auto"/>
              <w:right w:val="single" w:sz="4" w:space="0" w:color="auto"/>
            </w:tcBorders>
            <w:noWrap/>
            <w:vAlign w:val="center"/>
            <w:hideMark/>
          </w:tcPr>
          <w:p w14:paraId="5C2D79AC" w14:textId="24735138"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57A1A7E8" w14:textId="5C6E83B6"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1,614</w:t>
            </w:r>
          </w:p>
        </w:tc>
      </w:tr>
      <w:tr w:rsidR="006274D5" w:rsidRPr="002B2A2D" w14:paraId="7B7383DB" w14:textId="77777777" w:rsidTr="7DC2132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4B14A6ED" w14:textId="38BC8A2A"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Levi Capability Fund</w:t>
            </w:r>
            <w:r>
              <w:rPr>
                <w:rFonts w:eastAsia="Times New Roman" w:cs="Times New Roman"/>
                <w:color w:val="000000"/>
                <w:kern w:val="0"/>
                <w:sz w:val="20"/>
                <w:szCs w:val="20"/>
                <w:lang w:eastAsia="en-GB"/>
                <w14:ligatures w14:val="none"/>
              </w:rPr>
              <w:t xml:space="preserve"> </w:t>
            </w:r>
            <w:r w:rsidRPr="002B2A2D">
              <w:rPr>
                <w:rFonts w:eastAsia="Times New Roman" w:cs="Times New Roman"/>
                <w:color w:val="000000"/>
                <w:kern w:val="0"/>
                <w:sz w:val="20"/>
                <w:szCs w:val="20"/>
                <w:lang w:eastAsia="en-GB"/>
                <w14:ligatures w14:val="none"/>
              </w:rPr>
              <w:t>(Rev)</w:t>
            </w:r>
          </w:p>
        </w:tc>
        <w:tc>
          <w:tcPr>
            <w:tcW w:w="1701" w:type="dxa"/>
            <w:tcBorders>
              <w:top w:val="nil"/>
              <w:left w:val="nil"/>
              <w:bottom w:val="single" w:sz="4" w:space="0" w:color="auto"/>
              <w:right w:val="single" w:sz="4" w:space="0" w:color="auto"/>
            </w:tcBorders>
            <w:noWrap/>
            <w:vAlign w:val="center"/>
            <w:hideMark/>
          </w:tcPr>
          <w:p w14:paraId="7254B094" w14:textId="2CB48D71"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555</w:t>
            </w:r>
          </w:p>
        </w:tc>
        <w:tc>
          <w:tcPr>
            <w:tcW w:w="1500" w:type="dxa"/>
            <w:tcBorders>
              <w:top w:val="nil"/>
              <w:left w:val="single" w:sz="4" w:space="0" w:color="auto"/>
              <w:bottom w:val="single" w:sz="4" w:space="0" w:color="auto"/>
              <w:right w:val="single" w:sz="4" w:space="0" w:color="auto"/>
            </w:tcBorders>
            <w:noWrap/>
            <w:vAlign w:val="center"/>
            <w:hideMark/>
          </w:tcPr>
          <w:p w14:paraId="36071FD8" w14:textId="782AC967"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4A5D6188" w14:textId="5F71739B"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555</w:t>
            </w:r>
          </w:p>
        </w:tc>
      </w:tr>
      <w:tr w:rsidR="006274D5" w:rsidRPr="002B2A2D" w14:paraId="06995E09" w14:textId="77777777" w:rsidTr="7DC21327">
        <w:trPr>
          <w:trHeight w:val="30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19966684"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Consolidated Active Travel Fund</w:t>
            </w:r>
          </w:p>
        </w:tc>
        <w:tc>
          <w:tcPr>
            <w:tcW w:w="1701" w:type="dxa"/>
            <w:tcBorders>
              <w:top w:val="nil"/>
              <w:left w:val="nil"/>
              <w:bottom w:val="single" w:sz="4" w:space="0" w:color="auto"/>
              <w:right w:val="single" w:sz="4" w:space="0" w:color="auto"/>
            </w:tcBorders>
            <w:noWrap/>
            <w:vAlign w:val="center"/>
            <w:hideMark/>
          </w:tcPr>
          <w:p w14:paraId="39E79678" w14:textId="425EB5C4"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1,371</w:t>
            </w:r>
          </w:p>
        </w:tc>
        <w:tc>
          <w:tcPr>
            <w:tcW w:w="1500" w:type="dxa"/>
            <w:tcBorders>
              <w:top w:val="nil"/>
              <w:left w:val="single" w:sz="4" w:space="0" w:color="auto"/>
              <w:bottom w:val="single" w:sz="4" w:space="0" w:color="auto"/>
              <w:right w:val="single" w:sz="4" w:space="0" w:color="auto"/>
            </w:tcBorders>
            <w:noWrap/>
            <w:vAlign w:val="center"/>
            <w:hideMark/>
          </w:tcPr>
          <w:p w14:paraId="04843C22" w14:textId="4E7F84B2"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6003A337" w14:textId="2B394E22"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1,371</w:t>
            </w:r>
          </w:p>
        </w:tc>
      </w:tr>
      <w:tr w:rsidR="006274D5" w:rsidRPr="002B2A2D" w14:paraId="5CFF336D" w14:textId="77777777" w:rsidTr="7DC21327">
        <w:trPr>
          <w:trHeight w:val="310"/>
        </w:trPr>
        <w:tc>
          <w:tcPr>
            <w:tcW w:w="498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44B925B5" w14:textId="646B329E" w:rsidR="006274D5" w:rsidRPr="002B2A2D" w:rsidRDefault="006274D5" w:rsidP="006274D5">
            <w:pP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Earmarked Grant Reserves - Ringfenced Total</w:t>
            </w:r>
          </w:p>
        </w:tc>
        <w:tc>
          <w:tcPr>
            <w:tcW w:w="1701" w:type="dxa"/>
            <w:tcBorders>
              <w:top w:val="single" w:sz="12" w:space="0" w:color="auto"/>
              <w:left w:val="nil"/>
              <w:bottom w:val="single" w:sz="12" w:space="0" w:color="auto"/>
              <w:right w:val="single" w:sz="4" w:space="0" w:color="auto"/>
            </w:tcBorders>
            <w:shd w:val="clear" w:color="auto" w:fill="E8E8E8"/>
            <w:noWrap/>
            <w:vAlign w:val="center"/>
            <w:hideMark/>
          </w:tcPr>
          <w:p w14:paraId="0DE87191" w14:textId="45D01B93"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13,608</w:t>
            </w:r>
          </w:p>
        </w:tc>
        <w:tc>
          <w:tcPr>
            <w:tcW w:w="1500" w:type="dxa"/>
            <w:tcBorders>
              <w:top w:val="single" w:sz="12" w:space="0" w:color="auto"/>
              <w:left w:val="single" w:sz="4" w:space="0" w:color="auto"/>
              <w:bottom w:val="single" w:sz="12" w:space="0" w:color="auto"/>
              <w:right w:val="single" w:sz="4" w:space="0" w:color="auto"/>
            </w:tcBorders>
            <w:shd w:val="clear" w:color="auto" w:fill="E8E8E8"/>
            <w:noWrap/>
            <w:vAlign w:val="center"/>
            <w:hideMark/>
          </w:tcPr>
          <w:p w14:paraId="29596EDD" w14:textId="5BBEA440"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(2,497)</w:t>
            </w:r>
          </w:p>
        </w:tc>
        <w:tc>
          <w:tcPr>
            <w:tcW w:w="1577" w:type="dxa"/>
            <w:tcBorders>
              <w:top w:val="single" w:sz="12" w:space="0" w:color="auto"/>
              <w:left w:val="single" w:sz="4" w:space="0" w:color="auto"/>
              <w:bottom w:val="single" w:sz="12" w:space="0" w:color="auto"/>
              <w:right w:val="single" w:sz="12" w:space="0" w:color="auto"/>
            </w:tcBorders>
            <w:shd w:val="clear" w:color="auto" w:fill="E8E8E8"/>
            <w:noWrap/>
            <w:vAlign w:val="center"/>
            <w:hideMark/>
          </w:tcPr>
          <w:p w14:paraId="66FEEE0C" w14:textId="132A4BC4"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11,111</w:t>
            </w:r>
          </w:p>
        </w:tc>
      </w:tr>
      <w:tr w:rsidR="006274D5" w:rsidRPr="002B2A2D" w14:paraId="17BD8938" w14:textId="77777777">
        <w:trPr>
          <w:trHeight w:val="30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4564BA1C"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ICTS DfT (2021/22)</w:t>
            </w:r>
          </w:p>
        </w:tc>
        <w:tc>
          <w:tcPr>
            <w:tcW w:w="1701" w:type="dxa"/>
            <w:tcBorders>
              <w:top w:val="nil"/>
              <w:left w:val="nil"/>
              <w:bottom w:val="single" w:sz="4" w:space="0" w:color="auto"/>
              <w:right w:val="single" w:sz="4" w:space="0" w:color="auto"/>
            </w:tcBorders>
            <w:noWrap/>
            <w:vAlign w:val="center"/>
            <w:hideMark/>
          </w:tcPr>
          <w:p w14:paraId="44449206" w14:textId="76B2F564"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3,232</w:t>
            </w:r>
          </w:p>
        </w:tc>
        <w:tc>
          <w:tcPr>
            <w:tcW w:w="1500" w:type="dxa"/>
            <w:tcBorders>
              <w:top w:val="nil"/>
              <w:left w:val="single" w:sz="4" w:space="0" w:color="auto"/>
              <w:bottom w:val="single" w:sz="4" w:space="0" w:color="auto"/>
              <w:right w:val="single" w:sz="4" w:space="0" w:color="auto"/>
            </w:tcBorders>
            <w:noWrap/>
            <w:vAlign w:val="center"/>
            <w:hideMark/>
          </w:tcPr>
          <w:p w14:paraId="15A2BF75" w14:textId="33E9CC43"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1F97A5BA" w14:textId="68503EFD"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3,232</w:t>
            </w:r>
          </w:p>
        </w:tc>
      </w:tr>
      <w:tr w:rsidR="006274D5" w:rsidRPr="002B2A2D" w14:paraId="54800CA8" w14:textId="7777777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5D45E91B"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CRSTS (2022/23 - forward)</w:t>
            </w:r>
          </w:p>
        </w:tc>
        <w:tc>
          <w:tcPr>
            <w:tcW w:w="1701" w:type="dxa"/>
            <w:tcBorders>
              <w:top w:val="nil"/>
              <w:left w:val="nil"/>
              <w:bottom w:val="single" w:sz="4" w:space="0" w:color="auto"/>
              <w:right w:val="single" w:sz="4" w:space="0" w:color="auto"/>
            </w:tcBorders>
            <w:noWrap/>
            <w:vAlign w:val="center"/>
            <w:hideMark/>
          </w:tcPr>
          <w:p w14:paraId="5E0CA0C0" w14:textId="58D69677"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4,951</w:t>
            </w:r>
          </w:p>
        </w:tc>
        <w:tc>
          <w:tcPr>
            <w:tcW w:w="1500" w:type="dxa"/>
            <w:tcBorders>
              <w:top w:val="nil"/>
              <w:left w:val="single" w:sz="4" w:space="0" w:color="auto"/>
              <w:bottom w:val="single" w:sz="4" w:space="0" w:color="auto"/>
              <w:right w:val="single" w:sz="4" w:space="0" w:color="auto"/>
            </w:tcBorders>
            <w:noWrap/>
            <w:vAlign w:val="center"/>
            <w:hideMark/>
          </w:tcPr>
          <w:p w14:paraId="257FCDD4" w14:textId="1B65E8D6"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3307FCF5" w14:textId="1DB66A98"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4,951</w:t>
            </w:r>
          </w:p>
        </w:tc>
      </w:tr>
      <w:tr w:rsidR="006274D5" w:rsidRPr="002B2A2D" w14:paraId="09ACD530" w14:textId="7777777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4F727813" w14:textId="197746E8"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Seah Lease - Ring fenced Reserve</w:t>
            </w:r>
          </w:p>
        </w:tc>
        <w:tc>
          <w:tcPr>
            <w:tcW w:w="1701" w:type="dxa"/>
            <w:tcBorders>
              <w:top w:val="nil"/>
              <w:left w:val="nil"/>
              <w:bottom w:val="single" w:sz="4" w:space="0" w:color="auto"/>
              <w:right w:val="single" w:sz="4" w:space="0" w:color="auto"/>
            </w:tcBorders>
            <w:noWrap/>
            <w:vAlign w:val="center"/>
            <w:hideMark/>
          </w:tcPr>
          <w:p w14:paraId="75755215" w14:textId="2A6FF837"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3,396</w:t>
            </w:r>
          </w:p>
        </w:tc>
        <w:tc>
          <w:tcPr>
            <w:tcW w:w="1500" w:type="dxa"/>
            <w:tcBorders>
              <w:top w:val="nil"/>
              <w:left w:val="single" w:sz="4" w:space="0" w:color="auto"/>
              <w:bottom w:val="single" w:sz="4" w:space="0" w:color="auto"/>
              <w:right w:val="single" w:sz="4" w:space="0" w:color="auto"/>
            </w:tcBorders>
            <w:noWrap/>
            <w:vAlign w:val="center"/>
            <w:hideMark/>
          </w:tcPr>
          <w:p w14:paraId="30DAE006" w14:textId="6267B3E6"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1,028</w:t>
            </w:r>
          </w:p>
        </w:tc>
        <w:tc>
          <w:tcPr>
            <w:tcW w:w="1577" w:type="dxa"/>
            <w:tcBorders>
              <w:top w:val="nil"/>
              <w:left w:val="single" w:sz="4" w:space="0" w:color="auto"/>
              <w:bottom w:val="single" w:sz="4" w:space="0" w:color="auto"/>
              <w:right w:val="single" w:sz="12" w:space="0" w:color="auto"/>
            </w:tcBorders>
            <w:noWrap/>
            <w:vAlign w:val="center"/>
            <w:hideMark/>
          </w:tcPr>
          <w:p w14:paraId="57D10B56" w14:textId="07D0DE56"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4,424</w:t>
            </w:r>
          </w:p>
        </w:tc>
      </w:tr>
      <w:tr w:rsidR="006274D5" w:rsidRPr="002B2A2D" w14:paraId="157D1C7E" w14:textId="7777777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467B37FA"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Mayoral Election Costs Reserve</w:t>
            </w:r>
          </w:p>
        </w:tc>
        <w:tc>
          <w:tcPr>
            <w:tcW w:w="1701" w:type="dxa"/>
            <w:tcBorders>
              <w:top w:val="nil"/>
              <w:left w:val="nil"/>
              <w:bottom w:val="single" w:sz="4" w:space="0" w:color="auto"/>
              <w:right w:val="single" w:sz="4" w:space="0" w:color="auto"/>
            </w:tcBorders>
            <w:noWrap/>
            <w:vAlign w:val="center"/>
            <w:hideMark/>
          </w:tcPr>
          <w:p w14:paraId="001F4BBD" w14:textId="372F20F1"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00" w:type="dxa"/>
            <w:tcBorders>
              <w:top w:val="nil"/>
              <w:left w:val="single" w:sz="4" w:space="0" w:color="auto"/>
              <w:bottom w:val="single" w:sz="4" w:space="0" w:color="auto"/>
              <w:right w:val="single" w:sz="4" w:space="0" w:color="auto"/>
            </w:tcBorders>
            <w:noWrap/>
            <w:vAlign w:val="center"/>
            <w:hideMark/>
          </w:tcPr>
          <w:p w14:paraId="4BA943F0" w14:textId="60E301DF"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500</w:t>
            </w:r>
          </w:p>
        </w:tc>
        <w:tc>
          <w:tcPr>
            <w:tcW w:w="1577" w:type="dxa"/>
            <w:tcBorders>
              <w:top w:val="nil"/>
              <w:left w:val="single" w:sz="4" w:space="0" w:color="auto"/>
              <w:bottom w:val="single" w:sz="4" w:space="0" w:color="auto"/>
              <w:right w:val="single" w:sz="12" w:space="0" w:color="auto"/>
            </w:tcBorders>
            <w:noWrap/>
            <w:vAlign w:val="center"/>
            <w:hideMark/>
          </w:tcPr>
          <w:p w14:paraId="37A02375" w14:textId="410577B4"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500</w:t>
            </w:r>
          </w:p>
        </w:tc>
      </w:tr>
      <w:tr w:rsidR="006274D5" w:rsidRPr="002B2A2D" w14:paraId="01A66F70" w14:textId="7777777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7BBAD135"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Business Rate Growth</w:t>
            </w:r>
          </w:p>
        </w:tc>
        <w:tc>
          <w:tcPr>
            <w:tcW w:w="1701" w:type="dxa"/>
            <w:tcBorders>
              <w:top w:val="nil"/>
              <w:left w:val="nil"/>
              <w:bottom w:val="single" w:sz="4" w:space="0" w:color="auto"/>
              <w:right w:val="single" w:sz="4" w:space="0" w:color="auto"/>
            </w:tcBorders>
            <w:noWrap/>
            <w:vAlign w:val="center"/>
            <w:hideMark/>
          </w:tcPr>
          <w:p w14:paraId="48F8CA60" w14:textId="5D02A3E5"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2,856</w:t>
            </w:r>
          </w:p>
        </w:tc>
        <w:tc>
          <w:tcPr>
            <w:tcW w:w="1500" w:type="dxa"/>
            <w:tcBorders>
              <w:top w:val="nil"/>
              <w:left w:val="single" w:sz="4" w:space="0" w:color="auto"/>
              <w:bottom w:val="single" w:sz="4" w:space="0" w:color="auto"/>
              <w:right w:val="single" w:sz="4" w:space="0" w:color="auto"/>
            </w:tcBorders>
            <w:noWrap/>
            <w:vAlign w:val="center"/>
            <w:hideMark/>
          </w:tcPr>
          <w:p w14:paraId="0B78A2EA" w14:textId="16D566B6"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2E0E9CE9" w14:textId="5D53BC84"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2,856</w:t>
            </w:r>
          </w:p>
        </w:tc>
      </w:tr>
      <w:tr w:rsidR="006274D5" w:rsidRPr="002B2A2D" w14:paraId="01D2C863" w14:textId="77777777">
        <w:trPr>
          <w:trHeight w:val="29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690DD887" w14:textId="7777777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 xml:space="preserve"> Devolution - Unallocated</w:t>
            </w:r>
          </w:p>
        </w:tc>
        <w:tc>
          <w:tcPr>
            <w:tcW w:w="1701" w:type="dxa"/>
            <w:tcBorders>
              <w:top w:val="nil"/>
              <w:left w:val="nil"/>
              <w:bottom w:val="single" w:sz="4" w:space="0" w:color="auto"/>
              <w:right w:val="single" w:sz="4" w:space="0" w:color="auto"/>
            </w:tcBorders>
            <w:noWrap/>
            <w:vAlign w:val="center"/>
            <w:hideMark/>
          </w:tcPr>
          <w:p w14:paraId="53389FC4" w14:textId="6758AAA0"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9,050</w:t>
            </w:r>
          </w:p>
        </w:tc>
        <w:tc>
          <w:tcPr>
            <w:tcW w:w="1500" w:type="dxa"/>
            <w:tcBorders>
              <w:top w:val="nil"/>
              <w:left w:val="single" w:sz="4" w:space="0" w:color="auto"/>
              <w:bottom w:val="single" w:sz="4" w:space="0" w:color="auto"/>
              <w:right w:val="single" w:sz="4" w:space="0" w:color="auto"/>
            </w:tcBorders>
            <w:noWrap/>
            <w:vAlign w:val="center"/>
            <w:hideMark/>
          </w:tcPr>
          <w:p w14:paraId="3E55F6A6" w14:textId="61AD37C0"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w:t>
            </w:r>
          </w:p>
        </w:tc>
        <w:tc>
          <w:tcPr>
            <w:tcW w:w="1577" w:type="dxa"/>
            <w:tcBorders>
              <w:top w:val="nil"/>
              <w:left w:val="single" w:sz="4" w:space="0" w:color="auto"/>
              <w:bottom w:val="single" w:sz="4" w:space="0" w:color="auto"/>
              <w:right w:val="single" w:sz="12" w:space="0" w:color="auto"/>
            </w:tcBorders>
            <w:noWrap/>
            <w:vAlign w:val="center"/>
            <w:hideMark/>
          </w:tcPr>
          <w:p w14:paraId="02E40CFC" w14:textId="702A3D71"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9,050</w:t>
            </w:r>
          </w:p>
        </w:tc>
      </w:tr>
      <w:tr w:rsidR="006274D5" w:rsidRPr="002B2A2D" w14:paraId="3F0FB4CF" w14:textId="77777777">
        <w:trPr>
          <w:trHeight w:val="300"/>
        </w:trPr>
        <w:tc>
          <w:tcPr>
            <w:tcW w:w="4980" w:type="dxa"/>
            <w:tcBorders>
              <w:top w:val="nil"/>
              <w:left w:val="single" w:sz="12" w:space="0" w:color="auto"/>
              <w:bottom w:val="single" w:sz="4" w:space="0" w:color="auto"/>
              <w:right w:val="single" w:sz="12" w:space="0" w:color="auto"/>
            </w:tcBorders>
            <w:shd w:val="clear" w:color="auto" w:fill="E8E8E8"/>
            <w:noWrap/>
            <w:vAlign w:val="bottom"/>
            <w:hideMark/>
          </w:tcPr>
          <w:p w14:paraId="0E5E3139" w14:textId="40F4D737" w:rsidR="006274D5" w:rsidRPr="002B2A2D" w:rsidRDefault="006274D5" w:rsidP="006274D5">
            <w:pPr>
              <w:rPr>
                <w:rFonts w:eastAsia="Times New Roman" w:cs="Times New Roman"/>
                <w:color w:val="000000"/>
                <w:kern w:val="0"/>
                <w:sz w:val="20"/>
                <w:szCs w:val="20"/>
                <w:lang w:eastAsia="en-GB"/>
                <w14:ligatures w14:val="none"/>
              </w:rPr>
            </w:pPr>
            <w:r w:rsidRPr="002B2A2D">
              <w:rPr>
                <w:rFonts w:eastAsia="Times New Roman" w:cs="Times New Roman"/>
                <w:color w:val="000000"/>
                <w:kern w:val="0"/>
                <w:sz w:val="20"/>
                <w:szCs w:val="20"/>
                <w:lang w:eastAsia="en-GB"/>
                <w14:ligatures w14:val="none"/>
              </w:rPr>
              <w:t>Operating Surplus Reserve</w:t>
            </w:r>
          </w:p>
        </w:tc>
        <w:tc>
          <w:tcPr>
            <w:tcW w:w="1701" w:type="dxa"/>
            <w:tcBorders>
              <w:top w:val="nil"/>
              <w:left w:val="nil"/>
              <w:bottom w:val="single" w:sz="4" w:space="0" w:color="auto"/>
              <w:right w:val="single" w:sz="4" w:space="0" w:color="auto"/>
            </w:tcBorders>
            <w:noWrap/>
            <w:vAlign w:val="center"/>
            <w:hideMark/>
          </w:tcPr>
          <w:p w14:paraId="4E93051C" w14:textId="1A74DFE2"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190</w:t>
            </w:r>
          </w:p>
        </w:tc>
        <w:tc>
          <w:tcPr>
            <w:tcW w:w="1500" w:type="dxa"/>
            <w:tcBorders>
              <w:top w:val="nil"/>
              <w:left w:val="single" w:sz="4" w:space="0" w:color="auto"/>
              <w:bottom w:val="single" w:sz="4" w:space="0" w:color="auto"/>
              <w:right w:val="single" w:sz="4" w:space="0" w:color="auto"/>
            </w:tcBorders>
            <w:noWrap/>
            <w:vAlign w:val="center"/>
            <w:hideMark/>
          </w:tcPr>
          <w:p w14:paraId="7937D83B" w14:textId="28A43A3E"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2,549</w:t>
            </w:r>
          </w:p>
        </w:tc>
        <w:tc>
          <w:tcPr>
            <w:tcW w:w="1577" w:type="dxa"/>
            <w:tcBorders>
              <w:top w:val="nil"/>
              <w:left w:val="single" w:sz="4" w:space="0" w:color="auto"/>
              <w:bottom w:val="single" w:sz="4" w:space="0" w:color="auto"/>
              <w:right w:val="single" w:sz="12" w:space="0" w:color="auto"/>
            </w:tcBorders>
            <w:noWrap/>
            <w:vAlign w:val="center"/>
            <w:hideMark/>
          </w:tcPr>
          <w:p w14:paraId="6E6F4DFC" w14:textId="6EF922C9" w:rsidR="006274D5" w:rsidRPr="002B2A2D" w:rsidRDefault="006274D5" w:rsidP="006274D5">
            <w:pPr>
              <w:jc w:val="right"/>
              <w:rPr>
                <w:rFonts w:eastAsia="Times New Roman" w:cs="Times New Roman"/>
                <w:color w:val="000000"/>
                <w:kern w:val="0"/>
                <w:sz w:val="20"/>
                <w:szCs w:val="20"/>
                <w:lang w:eastAsia="en-GB"/>
                <w14:ligatures w14:val="none"/>
              </w:rPr>
            </w:pPr>
            <w:r>
              <w:rPr>
                <w:color w:val="000000"/>
                <w:sz w:val="20"/>
                <w:szCs w:val="20"/>
              </w:rPr>
              <w:t>2,739</w:t>
            </w:r>
          </w:p>
        </w:tc>
      </w:tr>
      <w:tr w:rsidR="006274D5" w:rsidRPr="002B2A2D" w14:paraId="6453D630" w14:textId="77777777">
        <w:trPr>
          <w:trHeight w:val="310"/>
        </w:trPr>
        <w:tc>
          <w:tcPr>
            <w:tcW w:w="4980" w:type="dxa"/>
            <w:tcBorders>
              <w:top w:val="single" w:sz="12" w:space="0" w:color="auto"/>
              <w:left w:val="single" w:sz="12" w:space="0" w:color="auto"/>
              <w:bottom w:val="single" w:sz="12" w:space="0" w:color="auto"/>
              <w:right w:val="single" w:sz="12" w:space="0" w:color="auto"/>
            </w:tcBorders>
            <w:shd w:val="clear" w:color="auto" w:fill="E8E8E8"/>
            <w:noWrap/>
            <w:vAlign w:val="bottom"/>
            <w:hideMark/>
          </w:tcPr>
          <w:p w14:paraId="58983134" w14:textId="77777777" w:rsidR="006274D5" w:rsidRPr="002B2A2D" w:rsidRDefault="006274D5" w:rsidP="006274D5">
            <w:pP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Earmarked reserves – non-ringfenced Total</w:t>
            </w:r>
          </w:p>
        </w:tc>
        <w:tc>
          <w:tcPr>
            <w:tcW w:w="1701" w:type="dxa"/>
            <w:tcBorders>
              <w:top w:val="single" w:sz="12" w:space="0" w:color="auto"/>
              <w:left w:val="nil"/>
              <w:bottom w:val="nil"/>
              <w:right w:val="single" w:sz="4" w:space="0" w:color="auto"/>
            </w:tcBorders>
            <w:shd w:val="clear" w:color="auto" w:fill="E8E8E8"/>
            <w:noWrap/>
            <w:vAlign w:val="center"/>
            <w:hideMark/>
          </w:tcPr>
          <w:p w14:paraId="61A48715" w14:textId="5D0623B8"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23,674</w:t>
            </w:r>
          </w:p>
        </w:tc>
        <w:tc>
          <w:tcPr>
            <w:tcW w:w="1500" w:type="dxa"/>
            <w:tcBorders>
              <w:top w:val="single" w:sz="12" w:space="0" w:color="auto"/>
              <w:left w:val="single" w:sz="4" w:space="0" w:color="auto"/>
              <w:bottom w:val="nil"/>
              <w:right w:val="single" w:sz="4" w:space="0" w:color="auto"/>
            </w:tcBorders>
            <w:shd w:val="clear" w:color="auto" w:fill="E8E8E8"/>
            <w:noWrap/>
            <w:vAlign w:val="center"/>
            <w:hideMark/>
          </w:tcPr>
          <w:p w14:paraId="7FDF1FBE" w14:textId="33854639"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4,077</w:t>
            </w:r>
          </w:p>
        </w:tc>
        <w:tc>
          <w:tcPr>
            <w:tcW w:w="1577" w:type="dxa"/>
            <w:tcBorders>
              <w:top w:val="single" w:sz="12" w:space="0" w:color="auto"/>
              <w:left w:val="single" w:sz="4" w:space="0" w:color="auto"/>
              <w:bottom w:val="nil"/>
              <w:right w:val="single" w:sz="12" w:space="0" w:color="auto"/>
            </w:tcBorders>
            <w:shd w:val="clear" w:color="auto" w:fill="E8E8E8"/>
            <w:noWrap/>
            <w:vAlign w:val="center"/>
            <w:hideMark/>
          </w:tcPr>
          <w:p w14:paraId="2DD1CA8A" w14:textId="2878D16F"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27,751</w:t>
            </w:r>
          </w:p>
        </w:tc>
      </w:tr>
      <w:tr w:rsidR="006274D5" w:rsidRPr="002B2A2D" w14:paraId="63EDD71D" w14:textId="77777777">
        <w:trPr>
          <w:trHeight w:val="310"/>
        </w:trPr>
        <w:tc>
          <w:tcPr>
            <w:tcW w:w="4980" w:type="dxa"/>
            <w:tcBorders>
              <w:top w:val="nil"/>
              <w:left w:val="single" w:sz="12" w:space="0" w:color="auto"/>
              <w:bottom w:val="single" w:sz="12" w:space="0" w:color="auto"/>
              <w:right w:val="single" w:sz="12" w:space="0" w:color="auto"/>
            </w:tcBorders>
            <w:shd w:val="clear" w:color="auto" w:fill="E8E8E8"/>
            <w:noWrap/>
            <w:vAlign w:val="bottom"/>
            <w:hideMark/>
          </w:tcPr>
          <w:p w14:paraId="7F4CE944" w14:textId="77777777" w:rsidR="006274D5" w:rsidRPr="002B2A2D" w:rsidRDefault="006274D5" w:rsidP="006274D5">
            <w:pPr>
              <w:rPr>
                <w:rFonts w:eastAsia="Times New Roman" w:cs="Times New Roman"/>
                <w:b/>
                <w:bCs/>
                <w:color w:val="000000"/>
                <w:kern w:val="0"/>
                <w:sz w:val="20"/>
                <w:szCs w:val="20"/>
                <w:lang w:eastAsia="en-GB"/>
                <w14:ligatures w14:val="none"/>
              </w:rPr>
            </w:pPr>
            <w:r w:rsidRPr="002B2A2D">
              <w:rPr>
                <w:rFonts w:eastAsia="Times New Roman" w:cs="Times New Roman"/>
                <w:b/>
                <w:bCs/>
                <w:color w:val="000000"/>
                <w:kern w:val="0"/>
                <w:sz w:val="20"/>
                <w:szCs w:val="20"/>
                <w:lang w:eastAsia="en-GB"/>
                <w14:ligatures w14:val="none"/>
              </w:rPr>
              <w:t> Total Revenue Reserves </w:t>
            </w:r>
          </w:p>
        </w:tc>
        <w:tc>
          <w:tcPr>
            <w:tcW w:w="1701" w:type="dxa"/>
            <w:tcBorders>
              <w:top w:val="single" w:sz="12" w:space="0" w:color="auto"/>
              <w:left w:val="nil"/>
              <w:bottom w:val="single" w:sz="12" w:space="0" w:color="auto"/>
              <w:right w:val="single" w:sz="4" w:space="0" w:color="auto"/>
            </w:tcBorders>
            <w:shd w:val="clear" w:color="auto" w:fill="D0D0D0" w:themeFill="accent2" w:themeFillTint="99"/>
            <w:noWrap/>
            <w:vAlign w:val="center"/>
            <w:hideMark/>
          </w:tcPr>
          <w:p w14:paraId="449DE33E" w14:textId="2FACF9A9"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38,340</w:t>
            </w:r>
          </w:p>
        </w:tc>
        <w:tc>
          <w:tcPr>
            <w:tcW w:w="1500" w:type="dxa"/>
            <w:tcBorders>
              <w:top w:val="single" w:sz="12" w:space="0" w:color="auto"/>
              <w:left w:val="single" w:sz="4" w:space="0" w:color="auto"/>
              <w:bottom w:val="single" w:sz="12" w:space="0" w:color="auto"/>
              <w:right w:val="single" w:sz="4" w:space="0" w:color="auto"/>
            </w:tcBorders>
            <w:shd w:val="clear" w:color="auto" w:fill="D0D0D0" w:themeFill="accent2" w:themeFillTint="99"/>
            <w:noWrap/>
            <w:vAlign w:val="center"/>
            <w:hideMark/>
          </w:tcPr>
          <w:p w14:paraId="7823A001" w14:textId="55CD72C8"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1,580</w:t>
            </w:r>
          </w:p>
        </w:tc>
        <w:tc>
          <w:tcPr>
            <w:tcW w:w="1577" w:type="dxa"/>
            <w:tcBorders>
              <w:top w:val="single" w:sz="12" w:space="0" w:color="auto"/>
              <w:left w:val="single" w:sz="4" w:space="0" w:color="auto"/>
              <w:bottom w:val="single" w:sz="12" w:space="0" w:color="auto"/>
              <w:right w:val="single" w:sz="12" w:space="0" w:color="auto"/>
            </w:tcBorders>
            <w:shd w:val="clear" w:color="auto" w:fill="D0D0D0" w:themeFill="accent2" w:themeFillTint="99"/>
            <w:noWrap/>
            <w:vAlign w:val="center"/>
            <w:hideMark/>
          </w:tcPr>
          <w:p w14:paraId="09BE4871" w14:textId="481A9DD7" w:rsidR="006274D5" w:rsidRPr="002B2A2D" w:rsidRDefault="006274D5" w:rsidP="006274D5">
            <w:pPr>
              <w:jc w:val="right"/>
              <w:rPr>
                <w:rFonts w:eastAsia="Times New Roman" w:cs="Times New Roman"/>
                <w:b/>
                <w:bCs/>
                <w:color w:val="000000"/>
                <w:kern w:val="0"/>
                <w:sz w:val="20"/>
                <w:szCs w:val="20"/>
                <w:lang w:eastAsia="en-GB"/>
                <w14:ligatures w14:val="none"/>
              </w:rPr>
            </w:pPr>
            <w:r>
              <w:rPr>
                <w:b/>
                <w:bCs/>
                <w:color w:val="000000"/>
                <w:sz w:val="20"/>
                <w:szCs w:val="20"/>
              </w:rPr>
              <w:t>39,920</w:t>
            </w:r>
          </w:p>
        </w:tc>
      </w:tr>
    </w:tbl>
    <w:p w14:paraId="333E1FA6" w14:textId="126402A4" w:rsidR="00C26AA6" w:rsidRDefault="00C26AA6" w:rsidP="00207485">
      <w:pPr>
        <w:pStyle w:val="Heading4"/>
      </w:pPr>
    </w:p>
    <w:p w14:paraId="46CDB700" w14:textId="77777777" w:rsidR="00C26AA6" w:rsidRDefault="00C26AA6" w:rsidP="00207485">
      <w:pPr>
        <w:pStyle w:val="Heading4"/>
      </w:pPr>
    </w:p>
    <w:p w14:paraId="5557A8AD" w14:textId="77777777" w:rsidR="00C26AA6" w:rsidRDefault="00C26AA6" w:rsidP="00207485">
      <w:pPr>
        <w:pStyle w:val="Heading4"/>
      </w:pPr>
    </w:p>
    <w:p w14:paraId="4C64B1A0" w14:textId="77777777" w:rsidR="00C26AA6" w:rsidRDefault="00C26AA6" w:rsidP="00207485">
      <w:pPr>
        <w:pStyle w:val="Heading4"/>
      </w:pPr>
    </w:p>
    <w:p w14:paraId="4E0E0782" w14:textId="77777777" w:rsidR="00C26AA6" w:rsidRDefault="00C26AA6" w:rsidP="00207485">
      <w:pPr>
        <w:pStyle w:val="Heading4"/>
      </w:pPr>
    </w:p>
    <w:p w14:paraId="1FC2FC0A" w14:textId="77777777" w:rsidR="00C26AA6" w:rsidRDefault="00C26AA6" w:rsidP="00207485">
      <w:pPr>
        <w:pStyle w:val="Heading4"/>
      </w:pPr>
    </w:p>
    <w:p w14:paraId="75B846C5" w14:textId="77777777" w:rsidR="00C26AA6" w:rsidRDefault="00C26AA6" w:rsidP="00207485">
      <w:pPr>
        <w:pStyle w:val="Heading4"/>
      </w:pPr>
    </w:p>
    <w:p w14:paraId="78F78981" w14:textId="77777777" w:rsidR="00C26AA6" w:rsidRDefault="00C26AA6" w:rsidP="00207485">
      <w:pPr>
        <w:pStyle w:val="Heading4"/>
      </w:pPr>
    </w:p>
    <w:p w14:paraId="3433AC9E" w14:textId="77777777" w:rsidR="00C26AA6" w:rsidRDefault="00C26AA6" w:rsidP="00207485">
      <w:pPr>
        <w:pStyle w:val="Heading4"/>
      </w:pPr>
    </w:p>
    <w:p w14:paraId="55F0DB00" w14:textId="77777777" w:rsidR="00C26AA6" w:rsidRDefault="00C26AA6" w:rsidP="00207485">
      <w:pPr>
        <w:pStyle w:val="Heading4"/>
      </w:pPr>
    </w:p>
    <w:p w14:paraId="09CA1B68" w14:textId="77777777" w:rsidR="00C26AA6" w:rsidRDefault="00C26AA6" w:rsidP="00207485">
      <w:pPr>
        <w:pStyle w:val="Heading4"/>
      </w:pPr>
    </w:p>
    <w:p w14:paraId="342472E1" w14:textId="77777777" w:rsidR="00C26AA6" w:rsidRDefault="00C26AA6" w:rsidP="00207485">
      <w:pPr>
        <w:pStyle w:val="Heading4"/>
      </w:pPr>
    </w:p>
    <w:p w14:paraId="49EE1EDD" w14:textId="77777777" w:rsidR="00C26AA6" w:rsidRDefault="00C26AA6" w:rsidP="00207485">
      <w:pPr>
        <w:pStyle w:val="Heading4"/>
      </w:pPr>
    </w:p>
    <w:p w14:paraId="0593DB9D" w14:textId="77777777" w:rsidR="00C26AA6" w:rsidRDefault="00C26AA6" w:rsidP="00207485">
      <w:pPr>
        <w:pStyle w:val="Heading4"/>
      </w:pPr>
    </w:p>
    <w:p w14:paraId="47B9AC1B" w14:textId="77777777" w:rsidR="00C26AA6" w:rsidRDefault="00C26AA6" w:rsidP="00207485">
      <w:pPr>
        <w:pStyle w:val="Heading4"/>
      </w:pPr>
    </w:p>
    <w:p w14:paraId="2A69F638" w14:textId="77777777" w:rsidR="00C26AA6" w:rsidRDefault="00C26AA6" w:rsidP="00207485">
      <w:pPr>
        <w:pStyle w:val="Heading4"/>
      </w:pPr>
    </w:p>
    <w:p w14:paraId="2AD5487D" w14:textId="77777777" w:rsidR="00C26AA6" w:rsidRDefault="00C26AA6" w:rsidP="00207485">
      <w:pPr>
        <w:pStyle w:val="Heading4"/>
      </w:pPr>
    </w:p>
    <w:p w14:paraId="73FDA0EC" w14:textId="77777777" w:rsidR="00C26AA6" w:rsidRDefault="00C26AA6" w:rsidP="00207485">
      <w:pPr>
        <w:pStyle w:val="Heading4"/>
      </w:pPr>
    </w:p>
    <w:p w14:paraId="57A89667" w14:textId="77777777" w:rsidR="00C26AA6" w:rsidRDefault="00C26AA6" w:rsidP="00207485">
      <w:pPr>
        <w:pStyle w:val="Heading4"/>
      </w:pPr>
    </w:p>
    <w:p w14:paraId="5DF841FF" w14:textId="77777777" w:rsidR="00C26AA6" w:rsidRDefault="00C26AA6" w:rsidP="00207485">
      <w:pPr>
        <w:pStyle w:val="Heading4"/>
      </w:pPr>
    </w:p>
    <w:sectPr w:rsidR="00C26AA6" w:rsidSect="00F71DE9">
      <w:headerReference w:type="default" r:id="rId12"/>
      <w:footerReference w:type="default" r:id="rId13"/>
      <w:pgSz w:w="11906" w:h="16838"/>
      <w:pgMar w:top="1134" w:right="1134" w:bottom="2268"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6FE1" w14:textId="77777777" w:rsidR="00B03D99" w:rsidRDefault="00B03D99" w:rsidP="00075BEA">
      <w:r>
        <w:separator/>
      </w:r>
    </w:p>
    <w:p w14:paraId="5994B7D8" w14:textId="77777777" w:rsidR="00B03D99" w:rsidRDefault="00B03D99"/>
  </w:endnote>
  <w:endnote w:type="continuationSeparator" w:id="0">
    <w:p w14:paraId="5CB463D0" w14:textId="77777777" w:rsidR="00B03D99" w:rsidRDefault="00B03D99" w:rsidP="00075BEA">
      <w:r>
        <w:continuationSeparator/>
      </w:r>
    </w:p>
    <w:p w14:paraId="0F6615A8" w14:textId="77777777" w:rsidR="00B03D99" w:rsidRDefault="00B03D99"/>
  </w:endnote>
  <w:endnote w:type="continuationNotice" w:id="1">
    <w:p w14:paraId="36CA29E6" w14:textId="77777777" w:rsidR="00B03D99" w:rsidRDefault="00B0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Light">
    <w:altName w:val="Calibri"/>
    <w:panose1 w:val="02000503000000020004"/>
    <w:charset w:val="00"/>
    <w:family w:val="auto"/>
    <w:pitch w:val="variable"/>
    <w:sig w:usb0="E00002FF" w:usb1="1200A1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altName w:val="Calibri"/>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 w:name="Inter ExtraBold">
    <w:panose1 w:val="02000503000000020004"/>
    <w:charset w:val="00"/>
    <w:family w:val="auto"/>
    <w:pitch w:val="variable"/>
    <w:sig w:usb0="E00002FF" w:usb1="1200A1FF" w:usb2="00000001" w:usb3="00000000" w:csb0="0000019F" w:csb1="00000000"/>
  </w:font>
  <w:font w:name="Yu Mincho">
    <w:altName w:val="游明朝"/>
    <w:charset w:val="80"/>
    <w:family w:val="roman"/>
    <w:pitch w:val="variable"/>
    <w:sig w:usb0="800002E7" w:usb1="2AC7FCFF" w:usb2="00000012" w:usb3="00000000" w:csb0="0002009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755283"/>
      <w:docPartObj>
        <w:docPartGallery w:val="Page Numbers (Bottom of Page)"/>
        <w:docPartUnique/>
      </w:docPartObj>
    </w:sdtPr>
    <w:sdtEndPr>
      <w:rPr>
        <w:rFonts w:ascii="Inter" w:hAnsi="Inter" w:cs="Arial"/>
        <w:b/>
        <w:bCs/>
        <w:noProof/>
      </w:rPr>
    </w:sdtEndPr>
    <w:sdtContent>
      <w:p w14:paraId="0D765852" w14:textId="158EAB78" w:rsidR="00075BEA" w:rsidRPr="00923264" w:rsidRDefault="00075BEA" w:rsidP="00207485">
        <w:pPr>
          <w:pStyle w:val="Footer"/>
          <w:tabs>
            <w:tab w:val="clear" w:pos="9026"/>
            <w:tab w:val="right" w:pos="9638"/>
          </w:tabs>
        </w:pPr>
        <w:r w:rsidRPr="006879C2">
          <w:rPr>
            <w:rFonts w:ascii="Inter" w:hAnsi="Inter" w:cs="Arial"/>
            <w:color w:val="DDDDDD" w:themeColor="accent1"/>
          </w:rPr>
          <w:t>Anything is possibl</w:t>
        </w:r>
        <w:r w:rsidR="00077864">
          <w:rPr>
            <w:rFonts w:ascii="Inter" w:hAnsi="Inter" w:cs="Arial"/>
            <w:color w:val="DDDDDD" w:themeColor="accent1"/>
          </w:rPr>
          <w:t>e</w:t>
        </w:r>
        <w:r w:rsidRPr="006879C2">
          <w:rPr>
            <w:rFonts w:ascii="Inter" w:hAnsi="Inter" w:cs="Arial"/>
            <w:b/>
            <w:bCs/>
          </w:rPr>
          <w:tab/>
        </w:r>
        <w:r w:rsidRPr="006879C2">
          <w:rPr>
            <w:rFonts w:ascii="Inter" w:hAnsi="Inter" w:cs="Arial"/>
          </w:rPr>
          <w:t xml:space="preserve"> </w:t>
        </w:r>
        <w:r w:rsidRPr="006879C2">
          <w:rPr>
            <w:rFonts w:ascii="Inter" w:hAnsi="Inter" w:cs="Arial"/>
          </w:rPr>
          <w:tab/>
        </w:r>
        <w:r w:rsidRPr="006879C2">
          <w:rPr>
            <w:rFonts w:ascii="Inter" w:hAnsi="Inter" w:cs="Arial"/>
          </w:rPr>
          <w:fldChar w:fldCharType="begin"/>
        </w:r>
        <w:r w:rsidRPr="006879C2">
          <w:rPr>
            <w:rFonts w:ascii="Inter" w:hAnsi="Inter" w:cs="Arial"/>
          </w:rPr>
          <w:instrText xml:space="preserve"> PAGE   \* MERGEFORMAT </w:instrText>
        </w:r>
        <w:r w:rsidRPr="006879C2">
          <w:rPr>
            <w:rFonts w:ascii="Inter" w:hAnsi="Inter" w:cs="Arial"/>
          </w:rPr>
          <w:fldChar w:fldCharType="separate"/>
        </w:r>
        <w:r>
          <w:rPr>
            <w:rFonts w:ascii="Inter" w:hAnsi="Inter" w:cs="Arial"/>
          </w:rPr>
          <w:t>1</w:t>
        </w:r>
        <w:r w:rsidRPr="006879C2">
          <w:rPr>
            <w:rFonts w:ascii="Inter" w:hAnsi="Inter" w:cs="Arial"/>
            <w:noProof/>
          </w:rPr>
          <w:fldChar w:fldCharType="end"/>
        </w:r>
      </w:p>
    </w:sdtContent>
  </w:sdt>
  <w:p w14:paraId="66DF1E5C" w14:textId="2C4A47DB" w:rsidR="00FA7AD9" w:rsidRDefault="00FA7A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192D" w14:textId="77777777" w:rsidR="00B03D99" w:rsidRDefault="00B03D99" w:rsidP="00075BEA">
      <w:r>
        <w:separator/>
      </w:r>
    </w:p>
    <w:p w14:paraId="6968C46A" w14:textId="77777777" w:rsidR="00B03D99" w:rsidRDefault="00B03D99"/>
  </w:footnote>
  <w:footnote w:type="continuationSeparator" w:id="0">
    <w:p w14:paraId="10F531AC" w14:textId="77777777" w:rsidR="00B03D99" w:rsidRDefault="00B03D99" w:rsidP="00075BEA">
      <w:r>
        <w:continuationSeparator/>
      </w:r>
    </w:p>
    <w:p w14:paraId="297F3C79" w14:textId="77777777" w:rsidR="00B03D99" w:rsidRDefault="00B03D99"/>
  </w:footnote>
  <w:footnote w:type="continuationNotice" w:id="1">
    <w:p w14:paraId="532EF954" w14:textId="77777777" w:rsidR="00B03D99" w:rsidRDefault="00B0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DC4C" w14:textId="1B56EBDC" w:rsidR="00075BEA" w:rsidRDefault="00B42861" w:rsidP="00E628CD">
    <w:pPr>
      <w:pStyle w:val="Header"/>
      <w:tabs>
        <w:tab w:val="clear" w:pos="4513"/>
        <w:tab w:val="clear" w:pos="9026"/>
        <w:tab w:val="left" w:pos="4243"/>
      </w:tabs>
    </w:pPr>
    <w:r>
      <w:rPr>
        <w:rFonts w:ascii="Inter" w:hAnsi="Inter" w:cs="Arial"/>
        <w:noProof/>
        <w:color w:val="DDDDDD" w:themeColor="accent1"/>
        <w:sz w:val="52"/>
        <w:szCs w:val="52"/>
      </w:rPr>
      <w:drawing>
        <wp:inline distT="0" distB="0" distL="0" distR="0" wp14:anchorId="65346B7C" wp14:editId="270C63D7">
          <wp:extent cx="1525256" cy="648000"/>
          <wp:effectExtent l="0" t="0" r="0" b="0"/>
          <wp:docPr id="2122828059" name="Picture 21228280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256" cy="648000"/>
                  </a:xfrm>
                  <a:prstGeom prst="rect">
                    <a:avLst/>
                  </a:prstGeom>
                </pic:spPr>
              </pic:pic>
            </a:graphicData>
          </a:graphic>
        </wp:inline>
      </w:drawing>
    </w:r>
  </w:p>
  <w:p w14:paraId="154A129C" w14:textId="77777777" w:rsidR="00CA6EFC" w:rsidRDefault="00CA6EFC">
    <w:pPr>
      <w:pStyle w:val="Header"/>
    </w:pPr>
  </w:p>
  <w:p w14:paraId="3E135E5A" w14:textId="77777777" w:rsidR="00FA7AD9" w:rsidRDefault="00FA7AD9"/>
</w:hdr>
</file>

<file path=word/intelligence2.xml><?xml version="1.0" encoding="utf-8"?>
<int2:intelligence xmlns:int2="http://schemas.microsoft.com/office/intelligence/2020/intelligence" xmlns:oel="http://schemas.microsoft.com/office/2019/extlst">
  <int2:observations>
    <int2:textHash int2:hashCode="PF5N4O5yYuPUD/" int2:id="WDgD7CPS">
      <int2:state int2:value="Rejected" int2:type="spell"/>
    </int2:textHash>
    <int2:textHash int2:hashCode="nYdXFeRJSF9+Ft" int2:id="bKO4Fxb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F77"/>
    <w:multiLevelType w:val="hybridMultilevel"/>
    <w:tmpl w:val="3FAADA1E"/>
    <w:lvl w:ilvl="0" w:tplc="FFFFFFFF">
      <w:start w:val="1"/>
      <w:numFmt w:val="bullet"/>
      <w:lvlText w:val="·"/>
      <w:lvlJc w:val="left"/>
      <w:pPr>
        <w:ind w:left="1080" w:hanging="360"/>
      </w:pPr>
      <w:rPr>
        <w:rFonts w:ascii="Symbol" w:hAnsi="Symbol" w:hint="default"/>
      </w:rPr>
    </w:lvl>
    <w:lvl w:ilvl="1" w:tplc="6FB63354">
      <w:start w:val="1"/>
      <w:numFmt w:val="bullet"/>
      <w:lvlText w:val="o"/>
      <w:lvlJc w:val="left"/>
      <w:pPr>
        <w:ind w:left="1800" w:hanging="360"/>
      </w:pPr>
      <w:rPr>
        <w:rFonts w:ascii="Courier New" w:hAnsi="Courier New" w:hint="default"/>
      </w:rPr>
    </w:lvl>
    <w:lvl w:ilvl="2" w:tplc="8EA0F6A8" w:tentative="1">
      <w:start w:val="1"/>
      <w:numFmt w:val="bullet"/>
      <w:lvlText w:val=""/>
      <w:lvlJc w:val="left"/>
      <w:pPr>
        <w:ind w:left="2520" w:hanging="360"/>
      </w:pPr>
      <w:rPr>
        <w:rFonts w:ascii="Wingdings" w:hAnsi="Wingdings" w:hint="default"/>
      </w:rPr>
    </w:lvl>
    <w:lvl w:ilvl="3" w:tplc="572A592E" w:tentative="1">
      <w:start w:val="1"/>
      <w:numFmt w:val="bullet"/>
      <w:lvlText w:val=""/>
      <w:lvlJc w:val="left"/>
      <w:pPr>
        <w:ind w:left="3240" w:hanging="360"/>
      </w:pPr>
      <w:rPr>
        <w:rFonts w:ascii="Symbol" w:hAnsi="Symbol" w:hint="default"/>
      </w:rPr>
    </w:lvl>
    <w:lvl w:ilvl="4" w:tplc="B17E9F50" w:tentative="1">
      <w:start w:val="1"/>
      <w:numFmt w:val="bullet"/>
      <w:lvlText w:val="o"/>
      <w:lvlJc w:val="left"/>
      <w:pPr>
        <w:ind w:left="3960" w:hanging="360"/>
      </w:pPr>
      <w:rPr>
        <w:rFonts w:ascii="Courier New" w:hAnsi="Courier New" w:hint="default"/>
      </w:rPr>
    </w:lvl>
    <w:lvl w:ilvl="5" w:tplc="41640718" w:tentative="1">
      <w:start w:val="1"/>
      <w:numFmt w:val="bullet"/>
      <w:lvlText w:val=""/>
      <w:lvlJc w:val="left"/>
      <w:pPr>
        <w:ind w:left="4680" w:hanging="360"/>
      </w:pPr>
      <w:rPr>
        <w:rFonts w:ascii="Wingdings" w:hAnsi="Wingdings" w:hint="default"/>
      </w:rPr>
    </w:lvl>
    <w:lvl w:ilvl="6" w:tplc="89E6B126" w:tentative="1">
      <w:start w:val="1"/>
      <w:numFmt w:val="bullet"/>
      <w:lvlText w:val=""/>
      <w:lvlJc w:val="left"/>
      <w:pPr>
        <w:ind w:left="5400" w:hanging="360"/>
      </w:pPr>
      <w:rPr>
        <w:rFonts w:ascii="Symbol" w:hAnsi="Symbol" w:hint="default"/>
      </w:rPr>
    </w:lvl>
    <w:lvl w:ilvl="7" w:tplc="85FA61D8" w:tentative="1">
      <w:start w:val="1"/>
      <w:numFmt w:val="bullet"/>
      <w:lvlText w:val="o"/>
      <w:lvlJc w:val="left"/>
      <w:pPr>
        <w:ind w:left="6120" w:hanging="360"/>
      </w:pPr>
      <w:rPr>
        <w:rFonts w:ascii="Courier New" w:hAnsi="Courier New" w:hint="default"/>
      </w:rPr>
    </w:lvl>
    <w:lvl w:ilvl="8" w:tplc="24EE2EAC" w:tentative="1">
      <w:start w:val="1"/>
      <w:numFmt w:val="bullet"/>
      <w:lvlText w:val=""/>
      <w:lvlJc w:val="left"/>
      <w:pPr>
        <w:ind w:left="6840" w:hanging="360"/>
      </w:pPr>
      <w:rPr>
        <w:rFonts w:ascii="Wingdings" w:hAnsi="Wingdings" w:hint="default"/>
      </w:rPr>
    </w:lvl>
  </w:abstractNum>
  <w:abstractNum w:abstractNumId="1" w15:restartNumberingAfterBreak="0">
    <w:nsid w:val="0693CCC6"/>
    <w:multiLevelType w:val="hybridMultilevel"/>
    <w:tmpl w:val="207CAC0C"/>
    <w:lvl w:ilvl="0" w:tplc="BCE055E2">
      <w:start w:val="94"/>
      <w:numFmt w:val="decimal"/>
      <w:lvlText w:val="%1."/>
      <w:lvlJc w:val="left"/>
      <w:pPr>
        <w:ind w:left="360" w:hanging="360"/>
      </w:pPr>
    </w:lvl>
    <w:lvl w:ilvl="1" w:tplc="566E26F4">
      <w:start w:val="1"/>
      <w:numFmt w:val="lowerLetter"/>
      <w:lvlText w:val="%2."/>
      <w:lvlJc w:val="left"/>
      <w:pPr>
        <w:ind w:left="1440" w:hanging="360"/>
      </w:pPr>
    </w:lvl>
    <w:lvl w:ilvl="2" w:tplc="A740E02C">
      <w:start w:val="1"/>
      <w:numFmt w:val="lowerRoman"/>
      <w:lvlText w:val="%3."/>
      <w:lvlJc w:val="right"/>
      <w:pPr>
        <w:ind w:left="2160" w:hanging="180"/>
      </w:pPr>
    </w:lvl>
    <w:lvl w:ilvl="3" w:tplc="7C4A9A54">
      <w:start w:val="1"/>
      <w:numFmt w:val="decimal"/>
      <w:lvlText w:val="%4."/>
      <w:lvlJc w:val="left"/>
      <w:pPr>
        <w:ind w:left="2880" w:hanging="360"/>
      </w:pPr>
    </w:lvl>
    <w:lvl w:ilvl="4" w:tplc="22B6070A">
      <w:start w:val="1"/>
      <w:numFmt w:val="lowerLetter"/>
      <w:lvlText w:val="%5."/>
      <w:lvlJc w:val="left"/>
      <w:pPr>
        <w:ind w:left="3600" w:hanging="360"/>
      </w:pPr>
    </w:lvl>
    <w:lvl w:ilvl="5" w:tplc="4F20F1A8">
      <w:start w:val="1"/>
      <w:numFmt w:val="lowerRoman"/>
      <w:lvlText w:val="%6."/>
      <w:lvlJc w:val="right"/>
      <w:pPr>
        <w:ind w:left="4320" w:hanging="180"/>
      </w:pPr>
    </w:lvl>
    <w:lvl w:ilvl="6" w:tplc="7CCE8D2A">
      <w:start w:val="1"/>
      <w:numFmt w:val="decimal"/>
      <w:lvlText w:val="%7."/>
      <w:lvlJc w:val="left"/>
      <w:pPr>
        <w:ind w:left="5040" w:hanging="360"/>
      </w:pPr>
    </w:lvl>
    <w:lvl w:ilvl="7" w:tplc="2FE6D442">
      <w:start w:val="1"/>
      <w:numFmt w:val="lowerLetter"/>
      <w:lvlText w:val="%8."/>
      <w:lvlJc w:val="left"/>
      <w:pPr>
        <w:ind w:left="5760" w:hanging="360"/>
      </w:pPr>
    </w:lvl>
    <w:lvl w:ilvl="8" w:tplc="A0488C8C">
      <w:start w:val="1"/>
      <w:numFmt w:val="lowerRoman"/>
      <w:lvlText w:val="%9."/>
      <w:lvlJc w:val="right"/>
      <w:pPr>
        <w:ind w:left="6480" w:hanging="180"/>
      </w:pPr>
    </w:lvl>
  </w:abstractNum>
  <w:abstractNum w:abstractNumId="2" w15:restartNumberingAfterBreak="0">
    <w:nsid w:val="08E1DBD0"/>
    <w:multiLevelType w:val="hybridMultilevel"/>
    <w:tmpl w:val="1B583DB8"/>
    <w:lvl w:ilvl="0" w:tplc="4C6C29AA">
      <w:start w:val="99"/>
      <w:numFmt w:val="decimal"/>
      <w:lvlText w:val="%1."/>
      <w:lvlJc w:val="left"/>
      <w:pPr>
        <w:ind w:left="360" w:hanging="360"/>
      </w:pPr>
    </w:lvl>
    <w:lvl w:ilvl="1" w:tplc="CADA9E3C">
      <w:start w:val="1"/>
      <w:numFmt w:val="lowerLetter"/>
      <w:lvlText w:val="%2."/>
      <w:lvlJc w:val="left"/>
      <w:pPr>
        <w:ind w:left="1440" w:hanging="360"/>
      </w:pPr>
    </w:lvl>
    <w:lvl w:ilvl="2" w:tplc="D0A2539C">
      <w:start w:val="1"/>
      <w:numFmt w:val="lowerRoman"/>
      <w:lvlText w:val="%3."/>
      <w:lvlJc w:val="right"/>
      <w:pPr>
        <w:ind w:left="2160" w:hanging="180"/>
      </w:pPr>
    </w:lvl>
    <w:lvl w:ilvl="3" w:tplc="06AA2678">
      <w:start w:val="1"/>
      <w:numFmt w:val="decimal"/>
      <w:lvlText w:val="%4."/>
      <w:lvlJc w:val="left"/>
      <w:pPr>
        <w:ind w:left="2880" w:hanging="360"/>
      </w:pPr>
    </w:lvl>
    <w:lvl w:ilvl="4" w:tplc="21B0E552">
      <w:start w:val="1"/>
      <w:numFmt w:val="lowerLetter"/>
      <w:lvlText w:val="%5."/>
      <w:lvlJc w:val="left"/>
      <w:pPr>
        <w:ind w:left="3600" w:hanging="360"/>
      </w:pPr>
    </w:lvl>
    <w:lvl w:ilvl="5" w:tplc="33C8F7C8">
      <w:start w:val="1"/>
      <w:numFmt w:val="lowerRoman"/>
      <w:lvlText w:val="%6."/>
      <w:lvlJc w:val="right"/>
      <w:pPr>
        <w:ind w:left="4320" w:hanging="180"/>
      </w:pPr>
    </w:lvl>
    <w:lvl w:ilvl="6" w:tplc="4DAAF3F4">
      <w:start w:val="1"/>
      <w:numFmt w:val="decimal"/>
      <w:lvlText w:val="%7."/>
      <w:lvlJc w:val="left"/>
      <w:pPr>
        <w:ind w:left="5040" w:hanging="360"/>
      </w:pPr>
    </w:lvl>
    <w:lvl w:ilvl="7" w:tplc="826CFD00">
      <w:start w:val="1"/>
      <w:numFmt w:val="lowerLetter"/>
      <w:lvlText w:val="%8."/>
      <w:lvlJc w:val="left"/>
      <w:pPr>
        <w:ind w:left="5760" w:hanging="360"/>
      </w:pPr>
    </w:lvl>
    <w:lvl w:ilvl="8" w:tplc="B030C242">
      <w:start w:val="1"/>
      <w:numFmt w:val="lowerRoman"/>
      <w:lvlText w:val="%9."/>
      <w:lvlJc w:val="right"/>
      <w:pPr>
        <w:ind w:left="6480" w:hanging="180"/>
      </w:pPr>
    </w:lvl>
  </w:abstractNum>
  <w:abstractNum w:abstractNumId="3" w15:restartNumberingAfterBreak="0">
    <w:nsid w:val="094A57AC"/>
    <w:multiLevelType w:val="hybridMultilevel"/>
    <w:tmpl w:val="09D0B6E4"/>
    <w:lvl w:ilvl="0" w:tplc="C1964808">
      <w:start w:val="98"/>
      <w:numFmt w:val="decimal"/>
      <w:lvlText w:val="%1."/>
      <w:lvlJc w:val="left"/>
      <w:pPr>
        <w:ind w:left="360" w:hanging="360"/>
      </w:pPr>
    </w:lvl>
    <w:lvl w:ilvl="1" w:tplc="EA7E60EE">
      <w:start w:val="1"/>
      <w:numFmt w:val="lowerLetter"/>
      <w:lvlText w:val="%2."/>
      <w:lvlJc w:val="left"/>
      <w:pPr>
        <w:ind w:left="1440" w:hanging="360"/>
      </w:pPr>
    </w:lvl>
    <w:lvl w:ilvl="2" w:tplc="F7563A3E">
      <w:start w:val="1"/>
      <w:numFmt w:val="lowerRoman"/>
      <w:lvlText w:val="%3."/>
      <w:lvlJc w:val="right"/>
      <w:pPr>
        <w:ind w:left="2160" w:hanging="180"/>
      </w:pPr>
    </w:lvl>
    <w:lvl w:ilvl="3" w:tplc="AECEB9FC">
      <w:start w:val="1"/>
      <w:numFmt w:val="decimal"/>
      <w:lvlText w:val="%4."/>
      <w:lvlJc w:val="left"/>
      <w:pPr>
        <w:ind w:left="2880" w:hanging="360"/>
      </w:pPr>
    </w:lvl>
    <w:lvl w:ilvl="4" w:tplc="7780DD16">
      <w:start w:val="1"/>
      <w:numFmt w:val="lowerLetter"/>
      <w:lvlText w:val="%5."/>
      <w:lvlJc w:val="left"/>
      <w:pPr>
        <w:ind w:left="3600" w:hanging="360"/>
      </w:pPr>
    </w:lvl>
    <w:lvl w:ilvl="5" w:tplc="43CA2DBE">
      <w:start w:val="1"/>
      <w:numFmt w:val="lowerRoman"/>
      <w:lvlText w:val="%6."/>
      <w:lvlJc w:val="right"/>
      <w:pPr>
        <w:ind w:left="4320" w:hanging="180"/>
      </w:pPr>
    </w:lvl>
    <w:lvl w:ilvl="6" w:tplc="3AA6585A">
      <w:start w:val="1"/>
      <w:numFmt w:val="decimal"/>
      <w:lvlText w:val="%7."/>
      <w:lvlJc w:val="left"/>
      <w:pPr>
        <w:ind w:left="5040" w:hanging="360"/>
      </w:pPr>
    </w:lvl>
    <w:lvl w:ilvl="7" w:tplc="DC78825A">
      <w:start w:val="1"/>
      <w:numFmt w:val="lowerLetter"/>
      <w:lvlText w:val="%8."/>
      <w:lvlJc w:val="left"/>
      <w:pPr>
        <w:ind w:left="5760" w:hanging="360"/>
      </w:pPr>
    </w:lvl>
    <w:lvl w:ilvl="8" w:tplc="5400E5A8">
      <w:start w:val="1"/>
      <w:numFmt w:val="lowerRoman"/>
      <w:lvlText w:val="%9."/>
      <w:lvlJc w:val="right"/>
      <w:pPr>
        <w:ind w:left="6480" w:hanging="180"/>
      </w:pPr>
    </w:lvl>
  </w:abstractNum>
  <w:abstractNum w:abstractNumId="4" w15:restartNumberingAfterBreak="0">
    <w:nsid w:val="0C97AB1E"/>
    <w:multiLevelType w:val="hybridMultilevel"/>
    <w:tmpl w:val="35DCAE48"/>
    <w:lvl w:ilvl="0" w:tplc="86529B6A">
      <w:start w:val="57"/>
      <w:numFmt w:val="decimal"/>
      <w:lvlText w:val="%1."/>
      <w:lvlJc w:val="left"/>
      <w:pPr>
        <w:ind w:left="360" w:hanging="360"/>
      </w:pPr>
    </w:lvl>
    <w:lvl w:ilvl="1" w:tplc="A2FC3748">
      <w:start w:val="1"/>
      <w:numFmt w:val="lowerLetter"/>
      <w:lvlText w:val="%2."/>
      <w:lvlJc w:val="left"/>
      <w:pPr>
        <w:ind w:left="1440" w:hanging="360"/>
      </w:pPr>
    </w:lvl>
    <w:lvl w:ilvl="2" w:tplc="55F27DE2">
      <w:start w:val="1"/>
      <w:numFmt w:val="lowerRoman"/>
      <w:lvlText w:val="%3."/>
      <w:lvlJc w:val="right"/>
      <w:pPr>
        <w:ind w:left="2160" w:hanging="180"/>
      </w:pPr>
    </w:lvl>
    <w:lvl w:ilvl="3" w:tplc="AB38EFF4">
      <w:start w:val="1"/>
      <w:numFmt w:val="decimal"/>
      <w:lvlText w:val="%4."/>
      <w:lvlJc w:val="left"/>
      <w:pPr>
        <w:ind w:left="2880" w:hanging="360"/>
      </w:pPr>
    </w:lvl>
    <w:lvl w:ilvl="4" w:tplc="F1E6A304">
      <w:start w:val="1"/>
      <w:numFmt w:val="lowerLetter"/>
      <w:lvlText w:val="%5."/>
      <w:lvlJc w:val="left"/>
      <w:pPr>
        <w:ind w:left="3600" w:hanging="360"/>
      </w:pPr>
    </w:lvl>
    <w:lvl w:ilvl="5" w:tplc="40D48484">
      <w:start w:val="1"/>
      <w:numFmt w:val="lowerRoman"/>
      <w:lvlText w:val="%6."/>
      <w:lvlJc w:val="right"/>
      <w:pPr>
        <w:ind w:left="4320" w:hanging="180"/>
      </w:pPr>
    </w:lvl>
    <w:lvl w:ilvl="6" w:tplc="2C90D56C">
      <w:start w:val="1"/>
      <w:numFmt w:val="decimal"/>
      <w:lvlText w:val="%7."/>
      <w:lvlJc w:val="left"/>
      <w:pPr>
        <w:ind w:left="5040" w:hanging="360"/>
      </w:pPr>
    </w:lvl>
    <w:lvl w:ilvl="7" w:tplc="169A71DE">
      <w:start w:val="1"/>
      <w:numFmt w:val="lowerLetter"/>
      <w:lvlText w:val="%8."/>
      <w:lvlJc w:val="left"/>
      <w:pPr>
        <w:ind w:left="5760" w:hanging="360"/>
      </w:pPr>
    </w:lvl>
    <w:lvl w:ilvl="8" w:tplc="EB2ED990">
      <w:start w:val="1"/>
      <w:numFmt w:val="lowerRoman"/>
      <w:lvlText w:val="%9."/>
      <w:lvlJc w:val="right"/>
      <w:pPr>
        <w:ind w:left="6480" w:hanging="180"/>
      </w:pPr>
    </w:lvl>
  </w:abstractNum>
  <w:abstractNum w:abstractNumId="5" w15:restartNumberingAfterBreak="0">
    <w:nsid w:val="1068A4ED"/>
    <w:multiLevelType w:val="hybridMultilevel"/>
    <w:tmpl w:val="26724922"/>
    <w:lvl w:ilvl="0" w:tplc="FD3E019E">
      <w:start w:val="1"/>
      <w:numFmt w:val="decimal"/>
      <w:lvlText w:val="%1."/>
      <w:lvlJc w:val="left"/>
      <w:pPr>
        <w:ind w:left="360" w:hanging="360"/>
      </w:pPr>
    </w:lvl>
    <w:lvl w:ilvl="1" w:tplc="77B60E14">
      <w:start w:val="1"/>
      <w:numFmt w:val="lowerLetter"/>
      <w:lvlText w:val="%2."/>
      <w:lvlJc w:val="left"/>
      <w:pPr>
        <w:ind w:left="1440" w:hanging="360"/>
      </w:pPr>
    </w:lvl>
    <w:lvl w:ilvl="2" w:tplc="758E5C18">
      <w:start w:val="1"/>
      <w:numFmt w:val="lowerRoman"/>
      <w:lvlText w:val="%3."/>
      <w:lvlJc w:val="right"/>
      <w:pPr>
        <w:ind w:left="2160" w:hanging="180"/>
      </w:pPr>
    </w:lvl>
    <w:lvl w:ilvl="3" w:tplc="9BA0B3C8">
      <w:start w:val="1"/>
      <w:numFmt w:val="decimal"/>
      <w:lvlText w:val="%4."/>
      <w:lvlJc w:val="left"/>
      <w:pPr>
        <w:ind w:left="2880" w:hanging="360"/>
      </w:pPr>
    </w:lvl>
    <w:lvl w:ilvl="4" w:tplc="A8A43230">
      <w:start w:val="1"/>
      <w:numFmt w:val="lowerLetter"/>
      <w:lvlText w:val="%5."/>
      <w:lvlJc w:val="left"/>
      <w:pPr>
        <w:ind w:left="3600" w:hanging="360"/>
      </w:pPr>
    </w:lvl>
    <w:lvl w:ilvl="5" w:tplc="A8FC7D8E">
      <w:start w:val="1"/>
      <w:numFmt w:val="lowerRoman"/>
      <w:lvlText w:val="%6."/>
      <w:lvlJc w:val="right"/>
      <w:pPr>
        <w:ind w:left="4320" w:hanging="180"/>
      </w:pPr>
    </w:lvl>
    <w:lvl w:ilvl="6" w:tplc="58E02004">
      <w:start w:val="1"/>
      <w:numFmt w:val="decimal"/>
      <w:lvlText w:val="%7."/>
      <w:lvlJc w:val="left"/>
      <w:pPr>
        <w:ind w:left="5040" w:hanging="360"/>
      </w:pPr>
    </w:lvl>
    <w:lvl w:ilvl="7" w:tplc="8FAAF0D2">
      <w:start w:val="1"/>
      <w:numFmt w:val="lowerLetter"/>
      <w:lvlText w:val="%8."/>
      <w:lvlJc w:val="left"/>
      <w:pPr>
        <w:ind w:left="5760" w:hanging="360"/>
      </w:pPr>
    </w:lvl>
    <w:lvl w:ilvl="8" w:tplc="6FA200EC">
      <w:start w:val="1"/>
      <w:numFmt w:val="lowerRoman"/>
      <w:lvlText w:val="%9."/>
      <w:lvlJc w:val="right"/>
      <w:pPr>
        <w:ind w:left="6480" w:hanging="180"/>
      </w:pPr>
    </w:lvl>
  </w:abstractNum>
  <w:abstractNum w:abstractNumId="6" w15:restartNumberingAfterBreak="0">
    <w:nsid w:val="19711017"/>
    <w:multiLevelType w:val="hybridMultilevel"/>
    <w:tmpl w:val="86C6D49A"/>
    <w:lvl w:ilvl="0" w:tplc="B0AE82D0">
      <w:start w:val="1"/>
      <w:numFmt w:val="decimal"/>
      <w:lvlText w:val="%1."/>
      <w:lvlJc w:val="left"/>
      <w:pPr>
        <w:ind w:left="360" w:hanging="360"/>
      </w:pPr>
    </w:lvl>
    <w:lvl w:ilvl="1" w:tplc="E9CCBF00">
      <w:start w:val="1"/>
      <w:numFmt w:val="lowerLetter"/>
      <w:lvlText w:val="%2."/>
      <w:lvlJc w:val="left"/>
      <w:pPr>
        <w:ind w:left="1440" w:hanging="360"/>
      </w:pPr>
    </w:lvl>
    <w:lvl w:ilvl="2" w:tplc="135E5CE8">
      <w:start w:val="1"/>
      <w:numFmt w:val="lowerRoman"/>
      <w:lvlText w:val="%3."/>
      <w:lvlJc w:val="right"/>
      <w:pPr>
        <w:ind w:left="2160" w:hanging="180"/>
      </w:pPr>
    </w:lvl>
    <w:lvl w:ilvl="3" w:tplc="A784E3C8">
      <w:start w:val="1"/>
      <w:numFmt w:val="decimal"/>
      <w:lvlText w:val="%4."/>
      <w:lvlJc w:val="left"/>
      <w:pPr>
        <w:ind w:left="2880" w:hanging="360"/>
      </w:pPr>
    </w:lvl>
    <w:lvl w:ilvl="4" w:tplc="129AE5E2">
      <w:start w:val="1"/>
      <w:numFmt w:val="lowerLetter"/>
      <w:lvlText w:val="%5."/>
      <w:lvlJc w:val="left"/>
      <w:pPr>
        <w:ind w:left="3600" w:hanging="360"/>
      </w:pPr>
    </w:lvl>
    <w:lvl w:ilvl="5" w:tplc="9D0C66B4">
      <w:start w:val="1"/>
      <w:numFmt w:val="lowerRoman"/>
      <w:lvlText w:val="%6."/>
      <w:lvlJc w:val="right"/>
      <w:pPr>
        <w:ind w:left="4320" w:hanging="180"/>
      </w:pPr>
    </w:lvl>
    <w:lvl w:ilvl="6" w:tplc="9174AADE">
      <w:start w:val="1"/>
      <w:numFmt w:val="decimal"/>
      <w:lvlText w:val="%7."/>
      <w:lvlJc w:val="left"/>
      <w:pPr>
        <w:ind w:left="5040" w:hanging="360"/>
      </w:pPr>
    </w:lvl>
    <w:lvl w:ilvl="7" w:tplc="9746E154">
      <w:start w:val="1"/>
      <w:numFmt w:val="lowerLetter"/>
      <w:lvlText w:val="%8."/>
      <w:lvlJc w:val="left"/>
      <w:pPr>
        <w:ind w:left="5760" w:hanging="360"/>
      </w:pPr>
    </w:lvl>
    <w:lvl w:ilvl="8" w:tplc="FE06F3B6">
      <w:start w:val="1"/>
      <w:numFmt w:val="lowerRoman"/>
      <w:lvlText w:val="%9."/>
      <w:lvlJc w:val="right"/>
      <w:pPr>
        <w:ind w:left="6480" w:hanging="180"/>
      </w:pPr>
    </w:lvl>
  </w:abstractNum>
  <w:abstractNum w:abstractNumId="7" w15:restartNumberingAfterBreak="0">
    <w:nsid w:val="1D52CEF9"/>
    <w:multiLevelType w:val="hybridMultilevel"/>
    <w:tmpl w:val="D6A65B60"/>
    <w:lvl w:ilvl="0" w:tplc="CE58BEDC">
      <w:start w:val="1"/>
      <w:numFmt w:val="bullet"/>
      <w:lvlText w:val=""/>
      <w:lvlJc w:val="left"/>
      <w:pPr>
        <w:ind w:left="927" w:hanging="360"/>
      </w:pPr>
      <w:rPr>
        <w:rFonts w:ascii="Symbol" w:hAnsi="Symbol" w:hint="default"/>
      </w:rPr>
    </w:lvl>
    <w:lvl w:ilvl="1" w:tplc="8528E772">
      <w:start w:val="1"/>
      <w:numFmt w:val="bullet"/>
      <w:lvlText w:val="o"/>
      <w:lvlJc w:val="left"/>
      <w:pPr>
        <w:ind w:left="1647" w:hanging="360"/>
      </w:pPr>
      <w:rPr>
        <w:rFonts w:ascii="Courier New" w:hAnsi="Courier New" w:hint="default"/>
      </w:rPr>
    </w:lvl>
    <w:lvl w:ilvl="2" w:tplc="A5D67416">
      <w:start w:val="1"/>
      <w:numFmt w:val="bullet"/>
      <w:lvlText w:val=""/>
      <w:lvlJc w:val="left"/>
      <w:pPr>
        <w:ind w:left="2367" w:hanging="360"/>
      </w:pPr>
      <w:rPr>
        <w:rFonts w:ascii="Wingdings" w:hAnsi="Wingdings" w:hint="default"/>
      </w:rPr>
    </w:lvl>
    <w:lvl w:ilvl="3" w:tplc="E53CE8D6">
      <w:start w:val="1"/>
      <w:numFmt w:val="bullet"/>
      <w:lvlText w:val=""/>
      <w:lvlJc w:val="left"/>
      <w:pPr>
        <w:ind w:left="3087" w:hanging="360"/>
      </w:pPr>
      <w:rPr>
        <w:rFonts w:ascii="Symbol" w:hAnsi="Symbol" w:hint="default"/>
      </w:rPr>
    </w:lvl>
    <w:lvl w:ilvl="4" w:tplc="04E2CB0C">
      <w:start w:val="1"/>
      <w:numFmt w:val="bullet"/>
      <w:lvlText w:val="o"/>
      <w:lvlJc w:val="left"/>
      <w:pPr>
        <w:ind w:left="3807" w:hanging="360"/>
      </w:pPr>
      <w:rPr>
        <w:rFonts w:ascii="Courier New" w:hAnsi="Courier New" w:hint="default"/>
      </w:rPr>
    </w:lvl>
    <w:lvl w:ilvl="5" w:tplc="0C268290">
      <w:start w:val="1"/>
      <w:numFmt w:val="bullet"/>
      <w:lvlText w:val=""/>
      <w:lvlJc w:val="left"/>
      <w:pPr>
        <w:ind w:left="4527" w:hanging="360"/>
      </w:pPr>
      <w:rPr>
        <w:rFonts w:ascii="Wingdings" w:hAnsi="Wingdings" w:hint="default"/>
      </w:rPr>
    </w:lvl>
    <w:lvl w:ilvl="6" w:tplc="49B03D56">
      <w:start w:val="1"/>
      <w:numFmt w:val="bullet"/>
      <w:lvlText w:val=""/>
      <w:lvlJc w:val="left"/>
      <w:pPr>
        <w:ind w:left="5247" w:hanging="360"/>
      </w:pPr>
      <w:rPr>
        <w:rFonts w:ascii="Symbol" w:hAnsi="Symbol" w:hint="default"/>
      </w:rPr>
    </w:lvl>
    <w:lvl w:ilvl="7" w:tplc="6428F0C8">
      <w:start w:val="1"/>
      <w:numFmt w:val="bullet"/>
      <w:lvlText w:val="o"/>
      <w:lvlJc w:val="left"/>
      <w:pPr>
        <w:ind w:left="5967" w:hanging="360"/>
      </w:pPr>
      <w:rPr>
        <w:rFonts w:ascii="Courier New" w:hAnsi="Courier New" w:hint="default"/>
      </w:rPr>
    </w:lvl>
    <w:lvl w:ilvl="8" w:tplc="F1724754">
      <w:start w:val="1"/>
      <w:numFmt w:val="bullet"/>
      <w:lvlText w:val=""/>
      <w:lvlJc w:val="left"/>
      <w:pPr>
        <w:ind w:left="6687" w:hanging="360"/>
      </w:pPr>
      <w:rPr>
        <w:rFonts w:ascii="Wingdings" w:hAnsi="Wingdings" w:hint="default"/>
      </w:rPr>
    </w:lvl>
  </w:abstractNum>
  <w:abstractNum w:abstractNumId="8" w15:restartNumberingAfterBreak="0">
    <w:nsid w:val="1E79D3AE"/>
    <w:multiLevelType w:val="hybridMultilevel"/>
    <w:tmpl w:val="4E405EEC"/>
    <w:lvl w:ilvl="0" w:tplc="193462F4">
      <w:start w:val="97"/>
      <w:numFmt w:val="decimal"/>
      <w:lvlText w:val="%1."/>
      <w:lvlJc w:val="left"/>
      <w:pPr>
        <w:ind w:left="360" w:hanging="360"/>
      </w:pPr>
      <w:rPr>
        <w:b w:val="0"/>
        <w:bCs/>
      </w:rPr>
    </w:lvl>
    <w:lvl w:ilvl="1" w:tplc="F5320B1A">
      <w:start w:val="1"/>
      <w:numFmt w:val="lowerLetter"/>
      <w:lvlText w:val="%2."/>
      <w:lvlJc w:val="left"/>
      <w:pPr>
        <w:ind w:left="1440" w:hanging="360"/>
      </w:pPr>
    </w:lvl>
    <w:lvl w:ilvl="2" w:tplc="1F3486EC">
      <w:start w:val="1"/>
      <w:numFmt w:val="lowerRoman"/>
      <w:lvlText w:val="%3."/>
      <w:lvlJc w:val="right"/>
      <w:pPr>
        <w:ind w:left="2160" w:hanging="180"/>
      </w:pPr>
    </w:lvl>
    <w:lvl w:ilvl="3" w:tplc="AE4E782E">
      <w:start w:val="1"/>
      <w:numFmt w:val="decimal"/>
      <w:lvlText w:val="%4."/>
      <w:lvlJc w:val="left"/>
      <w:pPr>
        <w:ind w:left="2880" w:hanging="360"/>
      </w:pPr>
    </w:lvl>
    <w:lvl w:ilvl="4" w:tplc="DF4E6604">
      <w:start w:val="1"/>
      <w:numFmt w:val="lowerLetter"/>
      <w:lvlText w:val="%5."/>
      <w:lvlJc w:val="left"/>
      <w:pPr>
        <w:ind w:left="3600" w:hanging="360"/>
      </w:pPr>
    </w:lvl>
    <w:lvl w:ilvl="5" w:tplc="18666C58">
      <w:start w:val="1"/>
      <w:numFmt w:val="lowerRoman"/>
      <w:lvlText w:val="%6."/>
      <w:lvlJc w:val="right"/>
      <w:pPr>
        <w:ind w:left="4320" w:hanging="180"/>
      </w:pPr>
    </w:lvl>
    <w:lvl w:ilvl="6" w:tplc="FFA04AAE">
      <w:start w:val="1"/>
      <w:numFmt w:val="decimal"/>
      <w:lvlText w:val="%7."/>
      <w:lvlJc w:val="left"/>
      <w:pPr>
        <w:ind w:left="5040" w:hanging="360"/>
      </w:pPr>
    </w:lvl>
    <w:lvl w:ilvl="7" w:tplc="6EF4094A">
      <w:start w:val="1"/>
      <w:numFmt w:val="lowerLetter"/>
      <w:lvlText w:val="%8."/>
      <w:lvlJc w:val="left"/>
      <w:pPr>
        <w:ind w:left="5760" w:hanging="360"/>
      </w:pPr>
    </w:lvl>
    <w:lvl w:ilvl="8" w:tplc="C97ADE82">
      <w:start w:val="1"/>
      <w:numFmt w:val="lowerRoman"/>
      <w:lvlText w:val="%9."/>
      <w:lvlJc w:val="right"/>
      <w:pPr>
        <w:ind w:left="6480" w:hanging="180"/>
      </w:pPr>
    </w:lvl>
  </w:abstractNum>
  <w:abstractNum w:abstractNumId="9" w15:restartNumberingAfterBreak="0">
    <w:nsid w:val="26960636"/>
    <w:multiLevelType w:val="hybridMultilevel"/>
    <w:tmpl w:val="CEF2CA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8D06F23"/>
    <w:multiLevelType w:val="hybridMultilevel"/>
    <w:tmpl w:val="A864A44A"/>
    <w:lvl w:ilvl="0" w:tplc="5AD4F108">
      <w:start w:val="1"/>
      <w:numFmt w:val="decimal"/>
      <w:lvlText w:val="%1."/>
      <w:lvlJc w:val="left"/>
      <w:pPr>
        <w:ind w:left="928"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CD43EB"/>
    <w:multiLevelType w:val="hybridMultilevel"/>
    <w:tmpl w:val="A55AF53C"/>
    <w:lvl w:ilvl="0" w:tplc="41B06D6A">
      <w:start w:val="56"/>
      <w:numFmt w:val="decimal"/>
      <w:lvlText w:val="%1."/>
      <w:lvlJc w:val="left"/>
      <w:pPr>
        <w:ind w:left="36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D6728"/>
    <w:multiLevelType w:val="hybridMultilevel"/>
    <w:tmpl w:val="7B9EBB32"/>
    <w:lvl w:ilvl="0" w:tplc="0809001B">
      <w:start w:val="1"/>
      <w:numFmt w:val="lowerRoman"/>
      <w:lvlText w:val="%1."/>
      <w:lvlJc w:val="righ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3" w15:restartNumberingAfterBreak="0">
    <w:nsid w:val="7401D71D"/>
    <w:multiLevelType w:val="hybridMultilevel"/>
    <w:tmpl w:val="FFFFFFFF"/>
    <w:lvl w:ilvl="0" w:tplc="9114508A">
      <w:start w:val="1"/>
      <w:numFmt w:val="bullet"/>
      <w:lvlText w:val=""/>
      <w:lvlJc w:val="left"/>
      <w:pPr>
        <w:ind w:left="720" w:hanging="360"/>
      </w:pPr>
      <w:rPr>
        <w:rFonts w:ascii="Symbol" w:hAnsi="Symbol" w:hint="default"/>
      </w:rPr>
    </w:lvl>
    <w:lvl w:ilvl="1" w:tplc="4D0EA85E">
      <w:start w:val="1"/>
      <w:numFmt w:val="bullet"/>
      <w:lvlText w:val="o"/>
      <w:lvlJc w:val="left"/>
      <w:pPr>
        <w:ind w:left="1440" w:hanging="360"/>
      </w:pPr>
      <w:rPr>
        <w:rFonts w:ascii="Courier New" w:hAnsi="Courier New" w:hint="default"/>
      </w:rPr>
    </w:lvl>
    <w:lvl w:ilvl="2" w:tplc="BC76772E">
      <w:start w:val="1"/>
      <w:numFmt w:val="bullet"/>
      <w:lvlText w:val=""/>
      <w:lvlJc w:val="left"/>
      <w:pPr>
        <w:ind w:left="2160" w:hanging="360"/>
      </w:pPr>
      <w:rPr>
        <w:rFonts w:ascii="Wingdings" w:hAnsi="Wingdings" w:hint="default"/>
      </w:rPr>
    </w:lvl>
    <w:lvl w:ilvl="3" w:tplc="7AC69E64">
      <w:start w:val="1"/>
      <w:numFmt w:val="bullet"/>
      <w:lvlText w:val=""/>
      <w:lvlJc w:val="left"/>
      <w:pPr>
        <w:ind w:left="2880" w:hanging="360"/>
      </w:pPr>
      <w:rPr>
        <w:rFonts w:ascii="Symbol" w:hAnsi="Symbol" w:hint="default"/>
      </w:rPr>
    </w:lvl>
    <w:lvl w:ilvl="4" w:tplc="D4C06D9A">
      <w:start w:val="1"/>
      <w:numFmt w:val="bullet"/>
      <w:lvlText w:val="o"/>
      <w:lvlJc w:val="left"/>
      <w:pPr>
        <w:ind w:left="3600" w:hanging="360"/>
      </w:pPr>
      <w:rPr>
        <w:rFonts w:ascii="Courier New" w:hAnsi="Courier New" w:hint="default"/>
      </w:rPr>
    </w:lvl>
    <w:lvl w:ilvl="5" w:tplc="1B5E29BA">
      <w:start w:val="1"/>
      <w:numFmt w:val="bullet"/>
      <w:lvlText w:val=""/>
      <w:lvlJc w:val="left"/>
      <w:pPr>
        <w:ind w:left="4320" w:hanging="360"/>
      </w:pPr>
      <w:rPr>
        <w:rFonts w:ascii="Wingdings" w:hAnsi="Wingdings" w:hint="default"/>
      </w:rPr>
    </w:lvl>
    <w:lvl w:ilvl="6" w:tplc="14869948">
      <w:start w:val="1"/>
      <w:numFmt w:val="bullet"/>
      <w:lvlText w:val=""/>
      <w:lvlJc w:val="left"/>
      <w:pPr>
        <w:ind w:left="5040" w:hanging="360"/>
      </w:pPr>
      <w:rPr>
        <w:rFonts w:ascii="Symbol" w:hAnsi="Symbol" w:hint="default"/>
      </w:rPr>
    </w:lvl>
    <w:lvl w:ilvl="7" w:tplc="0CCAEF5A">
      <w:start w:val="1"/>
      <w:numFmt w:val="bullet"/>
      <w:lvlText w:val="o"/>
      <w:lvlJc w:val="left"/>
      <w:pPr>
        <w:ind w:left="5760" w:hanging="360"/>
      </w:pPr>
      <w:rPr>
        <w:rFonts w:ascii="Courier New" w:hAnsi="Courier New" w:hint="default"/>
      </w:rPr>
    </w:lvl>
    <w:lvl w:ilvl="8" w:tplc="005AF154">
      <w:start w:val="1"/>
      <w:numFmt w:val="bullet"/>
      <w:lvlText w:val=""/>
      <w:lvlJc w:val="left"/>
      <w:pPr>
        <w:ind w:left="6480" w:hanging="360"/>
      </w:pPr>
      <w:rPr>
        <w:rFonts w:ascii="Wingdings" w:hAnsi="Wingdings" w:hint="default"/>
      </w:rPr>
    </w:lvl>
  </w:abstractNum>
  <w:abstractNum w:abstractNumId="14" w15:restartNumberingAfterBreak="0">
    <w:nsid w:val="7EE56BBB"/>
    <w:multiLevelType w:val="hybridMultilevel"/>
    <w:tmpl w:val="DE8C4298"/>
    <w:lvl w:ilvl="0" w:tplc="FFFFFFFF">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094016875">
    <w:abstractNumId w:val="6"/>
  </w:num>
  <w:num w:numId="2" w16cid:durableId="2043747577">
    <w:abstractNumId w:val="5"/>
  </w:num>
  <w:num w:numId="3" w16cid:durableId="1401246088">
    <w:abstractNumId w:val="8"/>
  </w:num>
  <w:num w:numId="4" w16cid:durableId="620310609">
    <w:abstractNumId w:val="4"/>
  </w:num>
  <w:num w:numId="5" w16cid:durableId="726563279">
    <w:abstractNumId w:val="2"/>
  </w:num>
  <w:num w:numId="6" w16cid:durableId="1669939021">
    <w:abstractNumId w:val="3"/>
  </w:num>
  <w:num w:numId="7" w16cid:durableId="1750036802">
    <w:abstractNumId w:val="1"/>
  </w:num>
  <w:num w:numId="8" w16cid:durableId="1682584047">
    <w:abstractNumId w:val="7"/>
  </w:num>
  <w:num w:numId="9" w16cid:durableId="1116101580">
    <w:abstractNumId w:val="13"/>
  </w:num>
  <w:num w:numId="10" w16cid:durableId="207425655">
    <w:abstractNumId w:val="10"/>
  </w:num>
  <w:num w:numId="11" w16cid:durableId="1760523402">
    <w:abstractNumId w:val="9"/>
  </w:num>
  <w:num w:numId="12" w16cid:durableId="760685564">
    <w:abstractNumId w:val="11"/>
  </w:num>
  <w:num w:numId="13" w16cid:durableId="1376655803">
    <w:abstractNumId w:val="12"/>
  </w:num>
  <w:num w:numId="14" w16cid:durableId="386759594">
    <w:abstractNumId w:val="0"/>
  </w:num>
  <w:num w:numId="15" w16cid:durableId="1974167625">
    <w:abstractNumId w:val="14"/>
  </w:num>
  <w:num w:numId="16" w16cid:durableId="1445340866">
    <w:abstractNumId w:val="11"/>
    <w:lvlOverride w:ilvl="0">
      <w:lvl w:ilvl="0" w:tplc="41B06D6A">
        <w:start w:val="56"/>
        <w:numFmt w:val="decimal"/>
        <w:lvlText w:val="%1."/>
        <w:lvlJc w:val="left"/>
        <w:pPr>
          <w:ind w:left="360" w:hanging="360"/>
        </w:pPr>
        <w:rPr>
          <w:rFonts w:hint="default"/>
          <w:b w:val="0"/>
          <w:bCs/>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7" w16cid:durableId="6907466">
    <w:abstractNumId w:val="11"/>
    <w:lvlOverride w:ilvl="0">
      <w:lvl w:ilvl="0" w:tplc="41B06D6A">
        <w:start w:val="56"/>
        <w:numFmt w:val="decimal"/>
        <w:lvlText w:val="%1."/>
        <w:lvlJc w:val="left"/>
        <w:pPr>
          <w:ind w:left="360" w:hanging="360"/>
        </w:pPr>
        <w:rPr>
          <w:rFonts w:hint="default"/>
          <w:b w:val="0"/>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16cid:durableId="2139372538">
    <w:abstractNumId w:val="4"/>
    <w:lvlOverride w:ilvl="0">
      <w:lvl w:ilvl="0" w:tplc="86529B6A">
        <w:start w:val="57"/>
        <w:numFmt w:val="decimal"/>
        <w:lvlText w:val="%1."/>
        <w:lvlJc w:val="left"/>
        <w:pPr>
          <w:ind w:left="360" w:hanging="360"/>
        </w:pPr>
        <w:rPr>
          <w:rFonts w:hint="default"/>
        </w:rPr>
      </w:lvl>
    </w:lvlOverride>
    <w:lvlOverride w:ilvl="1">
      <w:lvl w:ilvl="1" w:tplc="A2FC3748" w:tentative="1">
        <w:start w:val="1"/>
        <w:numFmt w:val="lowerLetter"/>
        <w:lvlText w:val="%2."/>
        <w:lvlJc w:val="left"/>
        <w:pPr>
          <w:ind w:left="1440" w:hanging="360"/>
        </w:pPr>
      </w:lvl>
    </w:lvlOverride>
    <w:lvlOverride w:ilvl="2">
      <w:lvl w:ilvl="2" w:tplc="55F27DE2" w:tentative="1">
        <w:start w:val="1"/>
        <w:numFmt w:val="lowerRoman"/>
        <w:lvlText w:val="%3."/>
        <w:lvlJc w:val="right"/>
        <w:pPr>
          <w:ind w:left="2160" w:hanging="180"/>
        </w:pPr>
      </w:lvl>
    </w:lvlOverride>
    <w:lvlOverride w:ilvl="3">
      <w:lvl w:ilvl="3" w:tplc="AB38EFF4" w:tentative="1">
        <w:start w:val="1"/>
        <w:numFmt w:val="decimal"/>
        <w:lvlText w:val="%4."/>
        <w:lvlJc w:val="left"/>
        <w:pPr>
          <w:ind w:left="2880" w:hanging="360"/>
        </w:pPr>
      </w:lvl>
    </w:lvlOverride>
    <w:lvlOverride w:ilvl="4">
      <w:lvl w:ilvl="4" w:tplc="F1E6A304" w:tentative="1">
        <w:start w:val="1"/>
        <w:numFmt w:val="lowerLetter"/>
        <w:lvlText w:val="%5."/>
        <w:lvlJc w:val="left"/>
        <w:pPr>
          <w:ind w:left="3600" w:hanging="360"/>
        </w:pPr>
      </w:lvl>
    </w:lvlOverride>
    <w:lvlOverride w:ilvl="5">
      <w:lvl w:ilvl="5" w:tplc="40D48484" w:tentative="1">
        <w:start w:val="1"/>
        <w:numFmt w:val="lowerRoman"/>
        <w:lvlText w:val="%6."/>
        <w:lvlJc w:val="right"/>
        <w:pPr>
          <w:ind w:left="4320" w:hanging="180"/>
        </w:pPr>
      </w:lvl>
    </w:lvlOverride>
    <w:lvlOverride w:ilvl="6">
      <w:lvl w:ilvl="6" w:tplc="2C90D56C" w:tentative="1">
        <w:start w:val="1"/>
        <w:numFmt w:val="decimal"/>
        <w:lvlText w:val="%7."/>
        <w:lvlJc w:val="left"/>
        <w:pPr>
          <w:ind w:left="5040" w:hanging="360"/>
        </w:pPr>
      </w:lvl>
    </w:lvlOverride>
    <w:lvlOverride w:ilvl="7">
      <w:lvl w:ilvl="7" w:tplc="169A71DE" w:tentative="1">
        <w:start w:val="1"/>
        <w:numFmt w:val="lowerLetter"/>
        <w:lvlText w:val="%8."/>
        <w:lvlJc w:val="left"/>
        <w:pPr>
          <w:ind w:left="5760" w:hanging="360"/>
        </w:pPr>
      </w:lvl>
    </w:lvlOverride>
    <w:lvlOverride w:ilvl="8">
      <w:lvl w:ilvl="8" w:tplc="EB2ED990" w:tentative="1">
        <w:start w:val="1"/>
        <w:numFmt w:val="lowerRoman"/>
        <w:lvlText w:val="%9."/>
        <w:lvlJc w:val="right"/>
        <w:pPr>
          <w:ind w:left="6480" w:hanging="180"/>
        </w:pPr>
      </w:lvl>
    </w:lvlOverride>
  </w:num>
  <w:num w:numId="19" w16cid:durableId="766267899">
    <w:abstractNumId w:val="4"/>
    <w:lvlOverride w:ilvl="0">
      <w:lvl w:ilvl="0" w:tplc="86529B6A">
        <w:start w:val="57"/>
        <w:numFmt w:val="decimal"/>
        <w:lvlText w:val="%1."/>
        <w:lvlJc w:val="left"/>
        <w:pPr>
          <w:ind w:left="360" w:hanging="360"/>
        </w:pPr>
        <w:rPr>
          <w:rFonts w:hint="default"/>
        </w:rPr>
      </w:lvl>
    </w:lvlOverride>
    <w:lvlOverride w:ilvl="1">
      <w:lvl w:ilvl="1" w:tplc="A2FC3748" w:tentative="1">
        <w:start w:val="1"/>
        <w:numFmt w:val="lowerLetter"/>
        <w:lvlText w:val="%2."/>
        <w:lvlJc w:val="left"/>
        <w:pPr>
          <w:ind w:left="1440" w:hanging="360"/>
        </w:pPr>
      </w:lvl>
    </w:lvlOverride>
    <w:lvlOverride w:ilvl="2">
      <w:lvl w:ilvl="2" w:tplc="55F27DE2" w:tentative="1">
        <w:start w:val="1"/>
        <w:numFmt w:val="lowerRoman"/>
        <w:lvlText w:val="%3."/>
        <w:lvlJc w:val="right"/>
        <w:pPr>
          <w:ind w:left="2160" w:hanging="180"/>
        </w:pPr>
      </w:lvl>
    </w:lvlOverride>
    <w:lvlOverride w:ilvl="3">
      <w:lvl w:ilvl="3" w:tplc="AB38EFF4" w:tentative="1">
        <w:start w:val="1"/>
        <w:numFmt w:val="decimal"/>
        <w:lvlText w:val="%4."/>
        <w:lvlJc w:val="left"/>
        <w:pPr>
          <w:ind w:left="2880" w:hanging="360"/>
        </w:pPr>
      </w:lvl>
    </w:lvlOverride>
    <w:lvlOverride w:ilvl="4">
      <w:lvl w:ilvl="4" w:tplc="F1E6A304" w:tentative="1">
        <w:start w:val="1"/>
        <w:numFmt w:val="lowerLetter"/>
        <w:lvlText w:val="%5."/>
        <w:lvlJc w:val="left"/>
        <w:pPr>
          <w:ind w:left="3600" w:hanging="360"/>
        </w:pPr>
      </w:lvl>
    </w:lvlOverride>
    <w:lvlOverride w:ilvl="5">
      <w:lvl w:ilvl="5" w:tplc="40D48484" w:tentative="1">
        <w:start w:val="1"/>
        <w:numFmt w:val="lowerRoman"/>
        <w:lvlText w:val="%6."/>
        <w:lvlJc w:val="right"/>
        <w:pPr>
          <w:ind w:left="4320" w:hanging="180"/>
        </w:pPr>
      </w:lvl>
    </w:lvlOverride>
    <w:lvlOverride w:ilvl="6">
      <w:lvl w:ilvl="6" w:tplc="2C90D56C" w:tentative="1">
        <w:start w:val="1"/>
        <w:numFmt w:val="decimal"/>
        <w:lvlText w:val="%7."/>
        <w:lvlJc w:val="left"/>
        <w:pPr>
          <w:ind w:left="5040" w:hanging="360"/>
        </w:pPr>
      </w:lvl>
    </w:lvlOverride>
    <w:lvlOverride w:ilvl="7">
      <w:lvl w:ilvl="7" w:tplc="169A71DE" w:tentative="1">
        <w:start w:val="1"/>
        <w:numFmt w:val="lowerLetter"/>
        <w:lvlText w:val="%8."/>
        <w:lvlJc w:val="left"/>
        <w:pPr>
          <w:ind w:left="5760" w:hanging="360"/>
        </w:pPr>
      </w:lvl>
    </w:lvlOverride>
    <w:lvlOverride w:ilvl="8">
      <w:lvl w:ilvl="8" w:tplc="EB2ED990" w:tentative="1">
        <w:start w:val="1"/>
        <w:numFmt w:val="lowerRoman"/>
        <w:lvlText w:val="%9."/>
        <w:lvlJc w:val="right"/>
        <w:pPr>
          <w:ind w:left="6480" w:hanging="180"/>
        </w:p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EA"/>
    <w:rsid w:val="0000052E"/>
    <w:rsid w:val="00000909"/>
    <w:rsid w:val="00000A1B"/>
    <w:rsid w:val="00000D86"/>
    <w:rsid w:val="00001348"/>
    <w:rsid w:val="00001E49"/>
    <w:rsid w:val="00002285"/>
    <w:rsid w:val="00003E2E"/>
    <w:rsid w:val="00003EF5"/>
    <w:rsid w:val="00004416"/>
    <w:rsid w:val="00005A9E"/>
    <w:rsid w:val="00005DAB"/>
    <w:rsid w:val="000063C3"/>
    <w:rsid w:val="0000649C"/>
    <w:rsid w:val="0000657D"/>
    <w:rsid w:val="0000768A"/>
    <w:rsid w:val="0000775F"/>
    <w:rsid w:val="00007EC1"/>
    <w:rsid w:val="00010A15"/>
    <w:rsid w:val="00010A27"/>
    <w:rsid w:val="00010C0C"/>
    <w:rsid w:val="00010D1B"/>
    <w:rsid w:val="00011F9E"/>
    <w:rsid w:val="00012EDA"/>
    <w:rsid w:val="0001349B"/>
    <w:rsid w:val="00013BDB"/>
    <w:rsid w:val="00014152"/>
    <w:rsid w:val="000143F4"/>
    <w:rsid w:val="00014647"/>
    <w:rsid w:val="00014B0E"/>
    <w:rsid w:val="00014BA3"/>
    <w:rsid w:val="00015A3F"/>
    <w:rsid w:val="00015B2F"/>
    <w:rsid w:val="00016ABD"/>
    <w:rsid w:val="00016CB5"/>
    <w:rsid w:val="00017401"/>
    <w:rsid w:val="00017E7D"/>
    <w:rsid w:val="00020533"/>
    <w:rsid w:val="0002084E"/>
    <w:rsid w:val="000209AE"/>
    <w:rsid w:val="00020AF1"/>
    <w:rsid w:val="00020D59"/>
    <w:rsid w:val="000224F5"/>
    <w:rsid w:val="000227A1"/>
    <w:rsid w:val="0002368C"/>
    <w:rsid w:val="00023DE0"/>
    <w:rsid w:val="00024882"/>
    <w:rsid w:val="00024ADD"/>
    <w:rsid w:val="00024E15"/>
    <w:rsid w:val="00025175"/>
    <w:rsid w:val="00025379"/>
    <w:rsid w:val="00025A09"/>
    <w:rsid w:val="00025AD0"/>
    <w:rsid w:val="00025D36"/>
    <w:rsid w:val="000262B4"/>
    <w:rsid w:val="00026CF0"/>
    <w:rsid w:val="00027702"/>
    <w:rsid w:val="000278FF"/>
    <w:rsid w:val="00027A87"/>
    <w:rsid w:val="00027B8E"/>
    <w:rsid w:val="00027BEB"/>
    <w:rsid w:val="00030051"/>
    <w:rsid w:val="000307B5"/>
    <w:rsid w:val="00030E34"/>
    <w:rsid w:val="000322B0"/>
    <w:rsid w:val="00032390"/>
    <w:rsid w:val="00032407"/>
    <w:rsid w:val="00032DA3"/>
    <w:rsid w:val="00033D2E"/>
    <w:rsid w:val="000347FE"/>
    <w:rsid w:val="00034E3F"/>
    <w:rsid w:val="000350C0"/>
    <w:rsid w:val="000350FF"/>
    <w:rsid w:val="000355B7"/>
    <w:rsid w:val="00036A03"/>
    <w:rsid w:val="00036D41"/>
    <w:rsid w:val="0003715A"/>
    <w:rsid w:val="0003721A"/>
    <w:rsid w:val="0004024D"/>
    <w:rsid w:val="00041204"/>
    <w:rsid w:val="000413F0"/>
    <w:rsid w:val="00041690"/>
    <w:rsid w:val="00041AF9"/>
    <w:rsid w:val="000423FE"/>
    <w:rsid w:val="00043180"/>
    <w:rsid w:val="00043506"/>
    <w:rsid w:val="000446EE"/>
    <w:rsid w:val="00044707"/>
    <w:rsid w:val="00044AD7"/>
    <w:rsid w:val="000453AD"/>
    <w:rsid w:val="000454EB"/>
    <w:rsid w:val="00045C4F"/>
    <w:rsid w:val="00045F0D"/>
    <w:rsid w:val="000462AF"/>
    <w:rsid w:val="000466EA"/>
    <w:rsid w:val="000471C2"/>
    <w:rsid w:val="0004728E"/>
    <w:rsid w:val="00050AC4"/>
    <w:rsid w:val="00051E14"/>
    <w:rsid w:val="00052D0A"/>
    <w:rsid w:val="00052D86"/>
    <w:rsid w:val="00053211"/>
    <w:rsid w:val="00053CF6"/>
    <w:rsid w:val="00053DFE"/>
    <w:rsid w:val="00054BDE"/>
    <w:rsid w:val="00054D61"/>
    <w:rsid w:val="00054E5E"/>
    <w:rsid w:val="0005522C"/>
    <w:rsid w:val="00055B14"/>
    <w:rsid w:val="0005636D"/>
    <w:rsid w:val="00056EEF"/>
    <w:rsid w:val="00057B91"/>
    <w:rsid w:val="00057CB5"/>
    <w:rsid w:val="00057D05"/>
    <w:rsid w:val="00057D78"/>
    <w:rsid w:val="0006002F"/>
    <w:rsid w:val="000610F4"/>
    <w:rsid w:val="00061C8F"/>
    <w:rsid w:val="00061D9B"/>
    <w:rsid w:val="00061DE1"/>
    <w:rsid w:val="0006328C"/>
    <w:rsid w:val="00063B45"/>
    <w:rsid w:val="00063C7F"/>
    <w:rsid w:val="00064C44"/>
    <w:rsid w:val="00064E18"/>
    <w:rsid w:val="00064F49"/>
    <w:rsid w:val="000669E5"/>
    <w:rsid w:val="00066A95"/>
    <w:rsid w:val="00067732"/>
    <w:rsid w:val="00067A85"/>
    <w:rsid w:val="00067BE3"/>
    <w:rsid w:val="00067BF7"/>
    <w:rsid w:val="00070285"/>
    <w:rsid w:val="00070286"/>
    <w:rsid w:val="0007038A"/>
    <w:rsid w:val="000712BD"/>
    <w:rsid w:val="00071466"/>
    <w:rsid w:val="000714FD"/>
    <w:rsid w:val="000722B6"/>
    <w:rsid w:val="0007390A"/>
    <w:rsid w:val="000746D1"/>
    <w:rsid w:val="000757FA"/>
    <w:rsid w:val="000759DF"/>
    <w:rsid w:val="00075B7C"/>
    <w:rsid w:val="00075BEA"/>
    <w:rsid w:val="00076DF3"/>
    <w:rsid w:val="00076F60"/>
    <w:rsid w:val="0007773E"/>
    <w:rsid w:val="00077864"/>
    <w:rsid w:val="000809F5"/>
    <w:rsid w:val="00080A12"/>
    <w:rsid w:val="00080BD9"/>
    <w:rsid w:val="000810B8"/>
    <w:rsid w:val="000810CF"/>
    <w:rsid w:val="00082329"/>
    <w:rsid w:val="0008299D"/>
    <w:rsid w:val="00083295"/>
    <w:rsid w:val="00083B54"/>
    <w:rsid w:val="00084432"/>
    <w:rsid w:val="00085125"/>
    <w:rsid w:val="0008565D"/>
    <w:rsid w:val="00085939"/>
    <w:rsid w:val="000859EA"/>
    <w:rsid w:val="00085C10"/>
    <w:rsid w:val="0008695F"/>
    <w:rsid w:val="00087CE4"/>
    <w:rsid w:val="0009047C"/>
    <w:rsid w:val="000919B7"/>
    <w:rsid w:val="00091F82"/>
    <w:rsid w:val="000925CE"/>
    <w:rsid w:val="00092B7F"/>
    <w:rsid w:val="00093055"/>
    <w:rsid w:val="00093CEE"/>
    <w:rsid w:val="00094014"/>
    <w:rsid w:val="00094093"/>
    <w:rsid w:val="00094965"/>
    <w:rsid w:val="0009545F"/>
    <w:rsid w:val="00095C7B"/>
    <w:rsid w:val="00095FFF"/>
    <w:rsid w:val="000967AC"/>
    <w:rsid w:val="00096CFA"/>
    <w:rsid w:val="00096F19"/>
    <w:rsid w:val="00097032"/>
    <w:rsid w:val="000A0645"/>
    <w:rsid w:val="000A085A"/>
    <w:rsid w:val="000A08A8"/>
    <w:rsid w:val="000A08DF"/>
    <w:rsid w:val="000A0D57"/>
    <w:rsid w:val="000A0D5A"/>
    <w:rsid w:val="000A0D9D"/>
    <w:rsid w:val="000A10FC"/>
    <w:rsid w:val="000A1562"/>
    <w:rsid w:val="000A17D5"/>
    <w:rsid w:val="000A25C5"/>
    <w:rsid w:val="000A2B92"/>
    <w:rsid w:val="000A3711"/>
    <w:rsid w:val="000A39A0"/>
    <w:rsid w:val="000A57B1"/>
    <w:rsid w:val="000A5896"/>
    <w:rsid w:val="000A6514"/>
    <w:rsid w:val="000A6AC7"/>
    <w:rsid w:val="000A70ED"/>
    <w:rsid w:val="000A74BD"/>
    <w:rsid w:val="000B07AB"/>
    <w:rsid w:val="000B0D0F"/>
    <w:rsid w:val="000B1602"/>
    <w:rsid w:val="000B18C7"/>
    <w:rsid w:val="000B1C4B"/>
    <w:rsid w:val="000B214F"/>
    <w:rsid w:val="000B2252"/>
    <w:rsid w:val="000B2576"/>
    <w:rsid w:val="000B2632"/>
    <w:rsid w:val="000B276B"/>
    <w:rsid w:val="000B2AB1"/>
    <w:rsid w:val="000B2E25"/>
    <w:rsid w:val="000B2F55"/>
    <w:rsid w:val="000B309A"/>
    <w:rsid w:val="000B310F"/>
    <w:rsid w:val="000B397C"/>
    <w:rsid w:val="000B3C67"/>
    <w:rsid w:val="000B48BD"/>
    <w:rsid w:val="000B4963"/>
    <w:rsid w:val="000B5415"/>
    <w:rsid w:val="000B6858"/>
    <w:rsid w:val="000B6C2B"/>
    <w:rsid w:val="000B715F"/>
    <w:rsid w:val="000B7894"/>
    <w:rsid w:val="000B796C"/>
    <w:rsid w:val="000B7AC5"/>
    <w:rsid w:val="000C02ED"/>
    <w:rsid w:val="000C0FDA"/>
    <w:rsid w:val="000C0FF9"/>
    <w:rsid w:val="000C11B0"/>
    <w:rsid w:val="000C15EB"/>
    <w:rsid w:val="000C161C"/>
    <w:rsid w:val="000C172A"/>
    <w:rsid w:val="000C1898"/>
    <w:rsid w:val="000C19F6"/>
    <w:rsid w:val="000C1E1A"/>
    <w:rsid w:val="000C23E2"/>
    <w:rsid w:val="000C25D1"/>
    <w:rsid w:val="000C2689"/>
    <w:rsid w:val="000C28B4"/>
    <w:rsid w:val="000C29D6"/>
    <w:rsid w:val="000C2F93"/>
    <w:rsid w:val="000C32C0"/>
    <w:rsid w:val="000C33CE"/>
    <w:rsid w:val="000C35D0"/>
    <w:rsid w:val="000C36C9"/>
    <w:rsid w:val="000C3939"/>
    <w:rsid w:val="000C41EB"/>
    <w:rsid w:val="000C4722"/>
    <w:rsid w:val="000C478C"/>
    <w:rsid w:val="000C4D41"/>
    <w:rsid w:val="000C4F75"/>
    <w:rsid w:val="000C6676"/>
    <w:rsid w:val="000C66DD"/>
    <w:rsid w:val="000C792A"/>
    <w:rsid w:val="000C7AB7"/>
    <w:rsid w:val="000C7CBA"/>
    <w:rsid w:val="000C7E5A"/>
    <w:rsid w:val="000D00C1"/>
    <w:rsid w:val="000D0115"/>
    <w:rsid w:val="000D1B67"/>
    <w:rsid w:val="000D1B7D"/>
    <w:rsid w:val="000D2EF6"/>
    <w:rsid w:val="000D3410"/>
    <w:rsid w:val="000D35E1"/>
    <w:rsid w:val="000D3C0C"/>
    <w:rsid w:val="000D3CD7"/>
    <w:rsid w:val="000D4B33"/>
    <w:rsid w:val="000D519C"/>
    <w:rsid w:val="000D5CF0"/>
    <w:rsid w:val="000D5E70"/>
    <w:rsid w:val="000D6C36"/>
    <w:rsid w:val="000D6C8A"/>
    <w:rsid w:val="000D6EC1"/>
    <w:rsid w:val="000D729D"/>
    <w:rsid w:val="000E020E"/>
    <w:rsid w:val="000E0935"/>
    <w:rsid w:val="000E0958"/>
    <w:rsid w:val="000E0B2F"/>
    <w:rsid w:val="000E1092"/>
    <w:rsid w:val="000E12A7"/>
    <w:rsid w:val="000E196F"/>
    <w:rsid w:val="000E1D9D"/>
    <w:rsid w:val="000E1DCC"/>
    <w:rsid w:val="000E1F16"/>
    <w:rsid w:val="000E2760"/>
    <w:rsid w:val="000E2BE4"/>
    <w:rsid w:val="000E317A"/>
    <w:rsid w:val="000E45DB"/>
    <w:rsid w:val="000E48FA"/>
    <w:rsid w:val="000E5070"/>
    <w:rsid w:val="000E58B2"/>
    <w:rsid w:val="000E7A77"/>
    <w:rsid w:val="000E7AA5"/>
    <w:rsid w:val="000F08D5"/>
    <w:rsid w:val="000F0D7F"/>
    <w:rsid w:val="000F13A3"/>
    <w:rsid w:val="000F165A"/>
    <w:rsid w:val="000F168C"/>
    <w:rsid w:val="000F1B0E"/>
    <w:rsid w:val="000F2523"/>
    <w:rsid w:val="000F25FC"/>
    <w:rsid w:val="000F2DBB"/>
    <w:rsid w:val="000F3551"/>
    <w:rsid w:val="000F3CE7"/>
    <w:rsid w:val="000F4056"/>
    <w:rsid w:val="000F4309"/>
    <w:rsid w:val="000F4465"/>
    <w:rsid w:val="000F4623"/>
    <w:rsid w:val="000F46DF"/>
    <w:rsid w:val="000F4D09"/>
    <w:rsid w:val="000F5098"/>
    <w:rsid w:val="000F581F"/>
    <w:rsid w:val="000F61CD"/>
    <w:rsid w:val="000F6458"/>
    <w:rsid w:val="000F6926"/>
    <w:rsid w:val="000F6CDA"/>
    <w:rsid w:val="000F7556"/>
    <w:rsid w:val="000F7752"/>
    <w:rsid w:val="001008DE"/>
    <w:rsid w:val="00100A77"/>
    <w:rsid w:val="00100B38"/>
    <w:rsid w:val="00101533"/>
    <w:rsid w:val="00101998"/>
    <w:rsid w:val="00101B63"/>
    <w:rsid w:val="00101E64"/>
    <w:rsid w:val="00101EA8"/>
    <w:rsid w:val="00102010"/>
    <w:rsid w:val="00102815"/>
    <w:rsid w:val="00102A9C"/>
    <w:rsid w:val="00103DC6"/>
    <w:rsid w:val="001041F0"/>
    <w:rsid w:val="00105ECD"/>
    <w:rsid w:val="00106E22"/>
    <w:rsid w:val="00106FDA"/>
    <w:rsid w:val="00107854"/>
    <w:rsid w:val="00107F53"/>
    <w:rsid w:val="001100C3"/>
    <w:rsid w:val="0011026A"/>
    <w:rsid w:val="00110D03"/>
    <w:rsid w:val="00111169"/>
    <w:rsid w:val="00112C15"/>
    <w:rsid w:val="00112CA5"/>
    <w:rsid w:val="00112E22"/>
    <w:rsid w:val="0011337C"/>
    <w:rsid w:val="00113A4F"/>
    <w:rsid w:val="00114929"/>
    <w:rsid w:val="00114B5E"/>
    <w:rsid w:val="00114C95"/>
    <w:rsid w:val="00115864"/>
    <w:rsid w:val="001170E5"/>
    <w:rsid w:val="0011715A"/>
    <w:rsid w:val="00117210"/>
    <w:rsid w:val="00117CBF"/>
    <w:rsid w:val="0012036F"/>
    <w:rsid w:val="00120BA8"/>
    <w:rsid w:val="00121164"/>
    <w:rsid w:val="00121662"/>
    <w:rsid w:val="00121818"/>
    <w:rsid w:val="00121F72"/>
    <w:rsid w:val="001233E2"/>
    <w:rsid w:val="0012366A"/>
    <w:rsid w:val="0012427F"/>
    <w:rsid w:val="00124363"/>
    <w:rsid w:val="0012498E"/>
    <w:rsid w:val="00124B88"/>
    <w:rsid w:val="00124B95"/>
    <w:rsid w:val="00124D0B"/>
    <w:rsid w:val="00124E70"/>
    <w:rsid w:val="00124F93"/>
    <w:rsid w:val="00125179"/>
    <w:rsid w:val="00125795"/>
    <w:rsid w:val="00125DBD"/>
    <w:rsid w:val="0012661F"/>
    <w:rsid w:val="00126639"/>
    <w:rsid w:val="001272E7"/>
    <w:rsid w:val="00127AEC"/>
    <w:rsid w:val="00127C53"/>
    <w:rsid w:val="00130118"/>
    <w:rsid w:val="00130587"/>
    <w:rsid w:val="00130DA4"/>
    <w:rsid w:val="0013109C"/>
    <w:rsid w:val="00131355"/>
    <w:rsid w:val="0013137C"/>
    <w:rsid w:val="0013140D"/>
    <w:rsid w:val="00132325"/>
    <w:rsid w:val="0013243F"/>
    <w:rsid w:val="0013270E"/>
    <w:rsid w:val="00133345"/>
    <w:rsid w:val="00133BAD"/>
    <w:rsid w:val="00133E47"/>
    <w:rsid w:val="00134666"/>
    <w:rsid w:val="00134BAB"/>
    <w:rsid w:val="001363D1"/>
    <w:rsid w:val="0013640C"/>
    <w:rsid w:val="0013703D"/>
    <w:rsid w:val="001378F7"/>
    <w:rsid w:val="00137A39"/>
    <w:rsid w:val="00137E79"/>
    <w:rsid w:val="0014007A"/>
    <w:rsid w:val="001400F0"/>
    <w:rsid w:val="00140407"/>
    <w:rsid w:val="0014053E"/>
    <w:rsid w:val="00140A9D"/>
    <w:rsid w:val="00140E5A"/>
    <w:rsid w:val="00140E9B"/>
    <w:rsid w:val="00141621"/>
    <w:rsid w:val="00141A88"/>
    <w:rsid w:val="00141CB2"/>
    <w:rsid w:val="00141D2A"/>
    <w:rsid w:val="00142233"/>
    <w:rsid w:val="0014237E"/>
    <w:rsid w:val="00142BD1"/>
    <w:rsid w:val="001431A2"/>
    <w:rsid w:val="00143224"/>
    <w:rsid w:val="0014478B"/>
    <w:rsid w:val="0014521C"/>
    <w:rsid w:val="00145CD2"/>
    <w:rsid w:val="0014661A"/>
    <w:rsid w:val="00146D88"/>
    <w:rsid w:val="001475D2"/>
    <w:rsid w:val="00147BD5"/>
    <w:rsid w:val="00150433"/>
    <w:rsid w:val="001508B5"/>
    <w:rsid w:val="00150BA0"/>
    <w:rsid w:val="00150D14"/>
    <w:rsid w:val="0015186B"/>
    <w:rsid w:val="00152B32"/>
    <w:rsid w:val="00152B89"/>
    <w:rsid w:val="0015305D"/>
    <w:rsid w:val="001538A4"/>
    <w:rsid w:val="00155265"/>
    <w:rsid w:val="00155376"/>
    <w:rsid w:val="001560B0"/>
    <w:rsid w:val="001569E1"/>
    <w:rsid w:val="00156E9A"/>
    <w:rsid w:val="00157073"/>
    <w:rsid w:val="001575F1"/>
    <w:rsid w:val="00157B6F"/>
    <w:rsid w:val="001602FF"/>
    <w:rsid w:val="00160BD8"/>
    <w:rsid w:val="0016153E"/>
    <w:rsid w:val="001621B0"/>
    <w:rsid w:val="00162C4B"/>
    <w:rsid w:val="0016316B"/>
    <w:rsid w:val="00163341"/>
    <w:rsid w:val="00163815"/>
    <w:rsid w:val="00163933"/>
    <w:rsid w:val="00163F45"/>
    <w:rsid w:val="0016412B"/>
    <w:rsid w:val="0016415A"/>
    <w:rsid w:val="00164522"/>
    <w:rsid w:val="00164A7A"/>
    <w:rsid w:val="00164C34"/>
    <w:rsid w:val="00164C42"/>
    <w:rsid w:val="00164DDA"/>
    <w:rsid w:val="001652C1"/>
    <w:rsid w:val="001652C8"/>
    <w:rsid w:val="00165CF3"/>
    <w:rsid w:val="00165F34"/>
    <w:rsid w:val="001664DD"/>
    <w:rsid w:val="00166529"/>
    <w:rsid w:val="00166AC6"/>
    <w:rsid w:val="001675C5"/>
    <w:rsid w:val="00167D8D"/>
    <w:rsid w:val="001701FA"/>
    <w:rsid w:val="00170509"/>
    <w:rsid w:val="0017097B"/>
    <w:rsid w:val="00171137"/>
    <w:rsid w:val="0017162A"/>
    <w:rsid w:val="001716C7"/>
    <w:rsid w:val="00171B69"/>
    <w:rsid w:val="00171F26"/>
    <w:rsid w:val="001723E1"/>
    <w:rsid w:val="00172915"/>
    <w:rsid w:val="0017348C"/>
    <w:rsid w:val="001735F5"/>
    <w:rsid w:val="001735F7"/>
    <w:rsid w:val="0017430C"/>
    <w:rsid w:val="001746B0"/>
    <w:rsid w:val="00174B5A"/>
    <w:rsid w:val="00174DB9"/>
    <w:rsid w:val="00175944"/>
    <w:rsid w:val="00175968"/>
    <w:rsid w:val="00175C34"/>
    <w:rsid w:val="00175C36"/>
    <w:rsid w:val="00176787"/>
    <w:rsid w:val="00176F9E"/>
    <w:rsid w:val="001775BC"/>
    <w:rsid w:val="00177669"/>
    <w:rsid w:val="001778D8"/>
    <w:rsid w:val="00177E32"/>
    <w:rsid w:val="001803CD"/>
    <w:rsid w:val="00181B10"/>
    <w:rsid w:val="00181FAB"/>
    <w:rsid w:val="00181FC3"/>
    <w:rsid w:val="00182153"/>
    <w:rsid w:val="0018255C"/>
    <w:rsid w:val="00183922"/>
    <w:rsid w:val="00183A37"/>
    <w:rsid w:val="0018429E"/>
    <w:rsid w:val="00184AC7"/>
    <w:rsid w:val="00184B62"/>
    <w:rsid w:val="0018502E"/>
    <w:rsid w:val="0018536F"/>
    <w:rsid w:val="0018591C"/>
    <w:rsid w:val="0018607C"/>
    <w:rsid w:val="001861C3"/>
    <w:rsid w:val="0018758D"/>
    <w:rsid w:val="001879EF"/>
    <w:rsid w:val="001911D7"/>
    <w:rsid w:val="00191BEB"/>
    <w:rsid w:val="00191CE8"/>
    <w:rsid w:val="0019294E"/>
    <w:rsid w:val="00192A96"/>
    <w:rsid w:val="00193632"/>
    <w:rsid w:val="00193682"/>
    <w:rsid w:val="001936A7"/>
    <w:rsid w:val="001937A0"/>
    <w:rsid w:val="00194CAE"/>
    <w:rsid w:val="00194DD3"/>
    <w:rsid w:val="00194EBD"/>
    <w:rsid w:val="001959F2"/>
    <w:rsid w:val="00195BDD"/>
    <w:rsid w:val="00195F35"/>
    <w:rsid w:val="00196488"/>
    <w:rsid w:val="0019658B"/>
    <w:rsid w:val="00196ED1"/>
    <w:rsid w:val="001979A8"/>
    <w:rsid w:val="00197F2E"/>
    <w:rsid w:val="001A05DB"/>
    <w:rsid w:val="001A0626"/>
    <w:rsid w:val="001A1188"/>
    <w:rsid w:val="001A19AF"/>
    <w:rsid w:val="001A2B78"/>
    <w:rsid w:val="001A2E0B"/>
    <w:rsid w:val="001A3634"/>
    <w:rsid w:val="001A3A5E"/>
    <w:rsid w:val="001A4719"/>
    <w:rsid w:val="001A567D"/>
    <w:rsid w:val="001A648C"/>
    <w:rsid w:val="001A6CE3"/>
    <w:rsid w:val="001A7528"/>
    <w:rsid w:val="001A781C"/>
    <w:rsid w:val="001B031B"/>
    <w:rsid w:val="001B04E2"/>
    <w:rsid w:val="001B0C76"/>
    <w:rsid w:val="001B1348"/>
    <w:rsid w:val="001B3440"/>
    <w:rsid w:val="001B3939"/>
    <w:rsid w:val="001B3BC7"/>
    <w:rsid w:val="001B3E03"/>
    <w:rsid w:val="001B429A"/>
    <w:rsid w:val="001B42CB"/>
    <w:rsid w:val="001B498A"/>
    <w:rsid w:val="001B4ABD"/>
    <w:rsid w:val="001B4F48"/>
    <w:rsid w:val="001B55D6"/>
    <w:rsid w:val="001B5EC8"/>
    <w:rsid w:val="001B6376"/>
    <w:rsid w:val="001B6529"/>
    <w:rsid w:val="001B692C"/>
    <w:rsid w:val="001B7821"/>
    <w:rsid w:val="001B799F"/>
    <w:rsid w:val="001B7B6E"/>
    <w:rsid w:val="001B7CD2"/>
    <w:rsid w:val="001C0499"/>
    <w:rsid w:val="001C0570"/>
    <w:rsid w:val="001C06DE"/>
    <w:rsid w:val="001C0A15"/>
    <w:rsid w:val="001C0D1C"/>
    <w:rsid w:val="001C0D2F"/>
    <w:rsid w:val="001C1916"/>
    <w:rsid w:val="001C212A"/>
    <w:rsid w:val="001C2270"/>
    <w:rsid w:val="001C2E10"/>
    <w:rsid w:val="001C3DD8"/>
    <w:rsid w:val="001C4236"/>
    <w:rsid w:val="001C4574"/>
    <w:rsid w:val="001C493D"/>
    <w:rsid w:val="001C4D92"/>
    <w:rsid w:val="001C5D6C"/>
    <w:rsid w:val="001C696C"/>
    <w:rsid w:val="001C6CD1"/>
    <w:rsid w:val="001C71E6"/>
    <w:rsid w:val="001D0537"/>
    <w:rsid w:val="001D05C6"/>
    <w:rsid w:val="001D104B"/>
    <w:rsid w:val="001D1693"/>
    <w:rsid w:val="001D16A7"/>
    <w:rsid w:val="001D19D7"/>
    <w:rsid w:val="001D1D83"/>
    <w:rsid w:val="001D1DF7"/>
    <w:rsid w:val="001D2047"/>
    <w:rsid w:val="001D20B5"/>
    <w:rsid w:val="001D27F8"/>
    <w:rsid w:val="001D2F32"/>
    <w:rsid w:val="001D3FC9"/>
    <w:rsid w:val="001D401B"/>
    <w:rsid w:val="001D440A"/>
    <w:rsid w:val="001D46CF"/>
    <w:rsid w:val="001D4713"/>
    <w:rsid w:val="001D4846"/>
    <w:rsid w:val="001D488D"/>
    <w:rsid w:val="001D4942"/>
    <w:rsid w:val="001D4B80"/>
    <w:rsid w:val="001D531E"/>
    <w:rsid w:val="001D5536"/>
    <w:rsid w:val="001D5592"/>
    <w:rsid w:val="001D624A"/>
    <w:rsid w:val="001D6853"/>
    <w:rsid w:val="001D6A97"/>
    <w:rsid w:val="001D715C"/>
    <w:rsid w:val="001D7697"/>
    <w:rsid w:val="001D7B5A"/>
    <w:rsid w:val="001E0357"/>
    <w:rsid w:val="001E0397"/>
    <w:rsid w:val="001E08DB"/>
    <w:rsid w:val="001E0D78"/>
    <w:rsid w:val="001E131D"/>
    <w:rsid w:val="001E1581"/>
    <w:rsid w:val="001E1A57"/>
    <w:rsid w:val="001E1DA0"/>
    <w:rsid w:val="001E2245"/>
    <w:rsid w:val="001E27E4"/>
    <w:rsid w:val="001E283E"/>
    <w:rsid w:val="001E2D47"/>
    <w:rsid w:val="001E32B6"/>
    <w:rsid w:val="001E35FF"/>
    <w:rsid w:val="001E3614"/>
    <w:rsid w:val="001E3A90"/>
    <w:rsid w:val="001E3AF3"/>
    <w:rsid w:val="001E3B64"/>
    <w:rsid w:val="001E3EF5"/>
    <w:rsid w:val="001E42D7"/>
    <w:rsid w:val="001E495D"/>
    <w:rsid w:val="001E5109"/>
    <w:rsid w:val="001E58A1"/>
    <w:rsid w:val="001E5D9D"/>
    <w:rsid w:val="001E67ED"/>
    <w:rsid w:val="001E6D8E"/>
    <w:rsid w:val="001E77C5"/>
    <w:rsid w:val="001E79C0"/>
    <w:rsid w:val="001F00A3"/>
    <w:rsid w:val="001F047F"/>
    <w:rsid w:val="001F06C5"/>
    <w:rsid w:val="001F1033"/>
    <w:rsid w:val="001F10B3"/>
    <w:rsid w:val="001F190C"/>
    <w:rsid w:val="001F1B54"/>
    <w:rsid w:val="001F1B75"/>
    <w:rsid w:val="001F276A"/>
    <w:rsid w:val="001F33DD"/>
    <w:rsid w:val="001F3698"/>
    <w:rsid w:val="001F3840"/>
    <w:rsid w:val="001F4021"/>
    <w:rsid w:val="001F43F8"/>
    <w:rsid w:val="001F464F"/>
    <w:rsid w:val="001F4789"/>
    <w:rsid w:val="001F5C73"/>
    <w:rsid w:val="001F5FBB"/>
    <w:rsid w:val="001F612E"/>
    <w:rsid w:val="001F6CFF"/>
    <w:rsid w:val="001F7157"/>
    <w:rsid w:val="001F768B"/>
    <w:rsid w:val="002001D4"/>
    <w:rsid w:val="00200477"/>
    <w:rsid w:val="0020098E"/>
    <w:rsid w:val="00200B74"/>
    <w:rsid w:val="002011E7"/>
    <w:rsid w:val="0020211E"/>
    <w:rsid w:val="002023FC"/>
    <w:rsid w:val="00202753"/>
    <w:rsid w:val="00202E2E"/>
    <w:rsid w:val="002035E5"/>
    <w:rsid w:val="0020387E"/>
    <w:rsid w:val="002038CB"/>
    <w:rsid w:val="00204FD4"/>
    <w:rsid w:val="002052F9"/>
    <w:rsid w:val="00205E34"/>
    <w:rsid w:val="00205E5C"/>
    <w:rsid w:val="00206135"/>
    <w:rsid w:val="00206879"/>
    <w:rsid w:val="00206894"/>
    <w:rsid w:val="00206EBF"/>
    <w:rsid w:val="00206FA3"/>
    <w:rsid w:val="00207485"/>
    <w:rsid w:val="002074C3"/>
    <w:rsid w:val="002074E3"/>
    <w:rsid w:val="00210320"/>
    <w:rsid w:val="00211251"/>
    <w:rsid w:val="00211291"/>
    <w:rsid w:val="002124CC"/>
    <w:rsid w:val="00212BEE"/>
    <w:rsid w:val="00212C27"/>
    <w:rsid w:val="00212E67"/>
    <w:rsid w:val="002132A2"/>
    <w:rsid w:val="0021384F"/>
    <w:rsid w:val="00213C08"/>
    <w:rsid w:val="00213C3D"/>
    <w:rsid w:val="0021442D"/>
    <w:rsid w:val="002148F2"/>
    <w:rsid w:val="00215A3E"/>
    <w:rsid w:val="0021633D"/>
    <w:rsid w:val="00217C0B"/>
    <w:rsid w:val="0022047B"/>
    <w:rsid w:val="00220FCE"/>
    <w:rsid w:val="002215E9"/>
    <w:rsid w:val="00221CC3"/>
    <w:rsid w:val="0022204C"/>
    <w:rsid w:val="00222063"/>
    <w:rsid w:val="002221D6"/>
    <w:rsid w:val="00222F65"/>
    <w:rsid w:val="00223845"/>
    <w:rsid w:val="00223C78"/>
    <w:rsid w:val="00224565"/>
    <w:rsid w:val="0022503A"/>
    <w:rsid w:val="00226256"/>
    <w:rsid w:val="002269D6"/>
    <w:rsid w:val="0022744C"/>
    <w:rsid w:val="00230898"/>
    <w:rsid w:val="00230E9F"/>
    <w:rsid w:val="00230EDB"/>
    <w:rsid w:val="00233068"/>
    <w:rsid w:val="00233077"/>
    <w:rsid w:val="002334D9"/>
    <w:rsid w:val="00233560"/>
    <w:rsid w:val="00233663"/>
    <w:rsid w:val="002338CA"/>
    <w:rsid w:val="002339D8"/>
    <w:rsid w:val="00234045"/>
    <w:rsid w:val="00234222"/>
    <w:rsid w:val="0023480F"/>
    <w:rsid w:val="002355BB"/>
    <w:rsid w:val="00235EE7"/>
    <w:rsid w:val="00235FCE"/>
    <w:rsid w:val="0023702A"/>
    <w:rsid w:val="00240542"/>
    <w:rsid w:val="00240C1D"/>
    <w:rsid w:val="00240D7B"/>
    <w:rsid w:val="00241EE6"/>
    <w:rsid w:val="00241F0C"/>
    <w:rsid w:val="0024217D"/>
    <w:rsid w:val="00242213"/>
    <w:rsid w:val="00242897"/>
    <w:rsid w:val="00242CAF"/>
    <w:rsid w:val="00243989"/>
    <w:rsid w:val="00243DAE"/>
    <w:rsid w:val="00244263"/>
    <w:rsid w:val="0024465F"/>
    <w:rsid w:val="00244B04"/>
    <w:rsid w:val="00244FD5"/>
    <w:rsid w:val="0024520A"/>
    <w:rsid w:val="002455F3"/>
    <w:rsid w:val="00245B8D"/>
    <w:rsid w:val="00245BD9"/>
    <w:rsid w:val="00245C0C"/>
    <w:rsid w:val="002462DC"/>
    <w:rsid w:val="00246492"/>
    <w:rsid w:val="00246E01"/>
    <w:rsid w:val="00247254"/>
    <w:rsid w:val="0024772E"/>
    <w:rsid w:val="00247E63"/>
    <w:rsid w:val="00250544"/>
    <w:rsid w:val="0025054A"/>
    <w:rsid w:val="00250FA7"/>
    <w:rsid w:val="002510AC"/>
    <w:rsid w:val="00252BA3"/>
    <w:rsid w:val="00253951"/>
    <w:rsid w:val="0025422F"/>
    <w:rsid w:val="002546C1"/>
    <w:rsid w:val="00254E2F"/>
    <w:rsid w:val="0025517C"/>
    <w:rsid w:val="002555EC"/>
    <w:rsid w:val="00255695"/>
    <w:rsid w:val="00256124"/>
    <w:rsid w:val="0025613C"/>
    <w:rsid w:val="0025655E"/>
    <w:rsid w:val="00256564"/>
    <w:rsid w:val="00256C91"/>
    <w:rsid w:val="0025707B"/>
    <w:rsid w:val="00257306"/>
    <w:rsid w:val="00257A23"/>
    <w:rsid w:val="00257A63"/>
    <w:rsid w:val="002602D1"/>
    <w:rsid w:val="0026112D"/>
    <w:rsid w:val="002612BD"/>
    <w:rsid w:val="00261372"/>
    <w:rsid w:val="00261EB3"/>
    <w:rsid w:val="0026231E"/>
    <w:rsid w:val="00262AB5"/>
    <w:rsid w:val="00263401"/>
    <w:rsid w:val="00263942"/>
    <w:rsid w:val="00263AAF"/>
    <w:rsid w:val="00263D49"/>
    <w:rsid w:val="00263DA6"/>
    <w:rsid w:val="00264E10"/>
    <w:rsid w:val="0026619F"/>
    <w:rsid w:val="00266405"/>
    <w:rsid w:val="00266AB1"/>
    <w:rsid w:val="00266AFE"/>
    <w:rsid w:val="00266CE1"/>
    <w:rsid w:val="00266D68"/>
    <w:rsid w:val="002675D5"/>
    <w:rsid w:val="00267630"/>
    <w:rsid w:val="002678C4"/>
    <w:rsid w:val="00267B5F"/>
    <w:rsid w:val="00267B7A"/>
    <w:rsid w:val="00267BCF"/>
    <w:rsid w:val="0027036C"/>
    <w:rsid w:val="00270A05"/>
    <w:rsid w:val="0027103D"/>
    <w:rsid w:val="00271F2B"/>
    <w:rsid w:val="00271F31"/>
    <w:rsid w:val="002726E1"/>
    <w:rsid w:val="002730D6"/>
    <w:rsid w:val="00273D84"/>
    <w:rsid w:val="002740D2"/>
    <w:rsid w:val="0027448F"/>
    <w:rsid w:val="00275C23"/>
    <w:rsid w:val="00275D89"/>
    <w:rsid w:val="002760FC"/>
    <w:rsid w:val="00276AAC"/>
    <w:rsid w:val="00276CE9"/>
    <w:rsid w:val="00276E84"/>
    <w:rsid w:val="00277087"/>
    <w:rsid w:val="00277282"/>
    <w:rsid w:val="00277338"/>
    <w:rsid w:val="00277F40"/>
    <w:rsid w:val="00280384"/>
    <w:rsid w:val="002803A4"/>
    <w:rsid w:val="002804BC"/>
    <w:rsid w:val="00280B3B"/>
    <w:rsid w:val="002815F8"/>
    <w:rsid w:val="00281A57"/>
    <w:rsid w:val="002820BF"/>
    <w:rsid w:val="002824DC"/>
    <w:rsid w:val="00282DF9"/>
    <w:rsid w:val="00283E83"/>
    <w:rsid w:val="002840C5"/>
    <w:rsid w:val="002845EA"/>
    <w:rsid w:val="00284757"/>
    <w:rsid w:val="00284897"/>
    <w:rsid w:val="00285AC2"/>
    <w:rsid w:val="00287CC4"/>
    <w:rsid w:val="00287F65"/>
    <w:rsid w:val="00290761"/>
    <w:rsid w:val="00290989"/>
    <w:rsid w:val="00291B24"/>
    <w:rsid w:val="00292371"/>
    <w:rsid w:val="0029238A"/>
    <w:rsid w:val="002925C5"/>
    <w:rsid w:val="002925E1"/>
    <w:rsid w:val="002927EC"/>
    <w:rsid w:val="00292F21"/>
    <w:rsid w:val="00293162"/>
    <w:rsid w:val="00293358"/>
    <w:rsid w:val="002934B2"/>
    <w:rsid w:val="00294408"/>
    <w:rsid w:val="002946C5"/>
    <w:rsid w:val="002951E9"/>
    <w:rsid w:val="0029562F"/>
    <w:rsid w:val="002960AD"/>
    <w:rsid w:val="00296B58"/>
    <w:rsid w:val="002971A9"/>
    <w:rsid w:val="0029758E"/>
    <w:rsid w:val="002979EE"/>
    <w:rsid w:val="00297B60"/>
    <w:rsid w:val="00297E6C"/>
    <w:rsid w:val="002A0095"/>
    <w:rsid w:val="002A0483"/>
    <w:rsid w:val="002A1492"/>
    <w:rsid w:val="002A1E01"/>
    <w:rsid w:val="002A2175"/>
    <w:rsid w:val="002A2A97"/>
    <w:rsid w:val="002A2BA9"/>
    <w:rsid w:val="002A2EBD"/>
    <w:rsid w:val="002A33A2"/>
    <w:rsid w:val="002A364D"/>
    <w:rsid w:val="002A439B"/>
    <w:rsid w:val="002A455E"/>
    <w:rsid w:val="002A4780"/>
    <w:rsid w:val="002A5034"/>
    <w:rsid w:val="002A592D"/>
    <w:rsid w:val="002A5BAC"/>
    <w:rsid w:val="002A6017"/>
    <w:rsid w:val="002A6213"/>
    <w:rsid w:val="002A64F8"/>
    <w:rsid w:val="002A6D64"/>
    <w:rsid w:val="002A71ED"/>
    <w:rsid w:val="002A726F"/>
    <w:rsid w:val="002A7B6C"/>
    <w:rsid w:val="002A7D14"/>
    <w:rsid w:val="002B0200"/>
    <w:rsid w:val="002B03EC"/>
    <w:rsid w:val="002B051C"/>
    <w:rsid w:val="002B063F"/>
    <w:rsid w:val="002B0BD3"/>
    <w:rsid w:val="002B0C60"/>
    <w:rsid w:val="002B1E80"/>
    <w:rsid w:val="002B2A2D"/>
    <w:rsid w:val="002B2C33"/>
    <w:rsid w:val="002B3DFB"/>
    <w:rsid w:val="002B4CF1"/>
    <w:rsid w:val="002B4D60"/>
    <w:rsid w:val="002B5276"/>
    <w:rsid w:val="002B52B3"/>
    <w:rsid w:val="002B55FE"/>
    <w:rsid w:val="002B564F"/>
    <w:rsid w:val="002B58AD"/>
    <w:rsid w:val="002B5CFC"/>
    <w:rsid w:val="002B6178"/>
    <w:rsid w:val="002B75B2"/>
    <w:rsid w:val="002C0896"/>
    <w:rsid w:val="002C146A"/>
    <w:rsid w:val="002C1582"/>
    <w:rsid w:val="002C1B71"/>
    <w:rsid w:val="002C1CD1"/>
    <w:rsid w:val="002C2316"/>
    <w:rsid w:val="002C2BB5"/>
    <w:rsid w:val="002C3006"/>
    <w:rsid w:val="002C3845"/>
    <w:rsid w:val="002C3FD7"/>
    <w:rsid w:val="002C4C9B"/>
    <w:rsid w:val="002C5387"/>
    <w:rsid w:val="002C5CE9"/>
    <w:rsid w:val="002C6A6E"/>
    <w:rsid w:val="002C7128"/>
    <w:rsid w:val="002D0FA7"/>
    <w:rsid w:val="002D1022"/>
    <w:rsid w:val="002D165C"/>
    <w:rsid w:val="002D169B"/>
    <w:rsid w:val="002D18DA"/>
    <w:rsid w:val="002D18FE"/>
    <w:rsid w:val="002D1B15"/>
    <w:rsid w:val="002D1F30"/>
    <w:rsid w:val="002D2283"/>
    <w:rsid w:val="002D27A7"/>
    <w:rsid w:val="002D3A36"/>
    <w:rsid w:val="002D5043"/>
    <w:rsid w:val="002D5F94"/>
    <w:rsid w:val="002D69F0"/>
    <w:rsid w:val="002D6AD7"/>
    <w:rsid w:val="002D6C6A"/>
    <w:rsid w:val="002D70E0"/>
    <w:rsid w:val="002D71D2"/>
    <w:rsid w:val="002D7506"/>
    <w:rsid w:val="002D75EC"/>
    <w:rsid w:val="002D7D06"/>
    <w:rsid w:val="002E1876"/>
    <w:rsid w:val="002E1A05"/>
    <w:rsid w:val="002E1FA9"/>
    <w:rsid w:val="002E23BF"/>
    <w:rsid w:val="002E24CC"/>
    <w:rsid w:val="002E3110"/>
    <w:rsid w:val="002E3C1E"/>
    <w:rsid w:val="002E3CD9"/>
    <w:rsid w:val="002E3DDB"/>
    <w:rsid w:val="002E4A6C"/>
    <w:rsid w:val="002E5213"/>
    <w:rsid w:val="002E5306"/>
    <w:rsid w:val="002E567A"/>
    <w:rsid w:val="002E5703"/>
    <w:rsid w:val="002E64A7"/>
    <w:rsid w:val="002E6A2E"/>
    <w:rsid w:val="002E6D30"/>
    <w:rsid w:val="002E76A8"/>
    <w:rsid w:val="002E7AAB"/>
    <w:rsid w:val="002E7C98"/>
    <w:rsid w:val="002E7E88"/>
    <w:rsid w:val="002F007C"/>
    <w:rsid w:val="002F0100"/>
    <w:rsid w:val="002F0739"/>
    <w:rsid w:val="002F0B93"/>
    <w:rsid w:val="002F118C"/>
    <w:rsid w:val="002F1407"/>
    <w:rsid w:val="002F1540"/>
    <w:rsid w:val="002F157A"/>
    <w:rsid w:val="002F1B64"/>
    <w:rsid w:val="002F2B75"/>
    <w:rsid w:val="002F4562"/>
    <w:rsid w:val="002F4912"/>
    <w:rsid w:val="002F4BA4"/>
    <w:rsid w:val="002F5C8E"/>
    <w:rsid w:val="002F68A6"/>
    <w:rsid w:val="002F6B40"/>
    <w:rsid w:val="002F6F4D"/>
    <w:rsid w:val="002F6FDD"/>
    <w:rsid w:val="002F6FE7"/>
    <w:rsid w:val="002F7BA8"/>
    <w:rsid w:val="003002CF"/>
    <w:rsid w:val="0030058C"/>
    <w:rsid w:val="0030086B"/>
    <w:rsid w:val="003009AD"/>
    <w:rsid w:val="00300D87"/>
    <w:rsid w:val="00301025"/>
    <w:rsid w:val="00301457"/>
    <w:rsid w:val="00301512"/>
    <w:rsid w:val="003023C9"/>
    <w:rsid w:val="003026A4"/>
    <w:rsid w:val="00302A7B"/>
    <w:rsid w:val="00303211"/>
    <w:rsid w:val="00304072"/>
    <w:rsid w:val="003040A9"/>
    <w:rsid w:val="003047E4"/>
    <w:rsid w:val="00304E26"/>
    <w:rsid w:val="00304F9F"/>
    <w:rsid w:val="0030530B"/>
    <w:rsid w:val="003059E6"/>
    <w:rsid w:val="00305CD4"/>
    <w:rsid w:val="00306006"/>
    <w:rsid w:val="003063FA"/>
    <w:rsid w:val="003064C0"/>
    <w:rsid w:val="00306CC0"/>
    <w:rsid w:val="00306E44"/>
    <w:rsid w:val="00306FA3"/>
    <w:rsid w:val="0030734B"/>
    <w:rsid w:val="003075A3"/>
    <w:rsid w:val="00308A76"/>
    <w:rsid w:val="00310158"/>
    <w:rsid w:val="003106E6"/>
    <w:rsid w:val="00311629"/>
    <w:rsid w:val="00311817"/>
    <w:rsid w:val="003119BA"/>
    <w:rsid w:val="00311BC9"/>
    <w:rsid w:val="00312012"/>
    <w:rsid w:val="0031290A"/>
    <w:rsid w:val="00312D8B"/>
    <w:rsid w:val="00312E8C"/>
    <w:rsid w:val="00313671"/>
    <w:rsid w:val="00313872"/>
    <w:rsid w:val="003157F2"/>
    <w:rsid w:val="00315A48"/>
    <w:rsid w:val="003162A7"/>
    <w:rsid w:val="003164E3"/>
    <w:rsid w:val="00316836"/>
    <w:rsid w:val="00316ACB"/>
    <w:rsid w:val="00317A0A"/>
    <w:rsid w:val="00317A28"/>
    <w:rsid w:val="0032079F"/>
    <w:rsid w:val="003207BA"/>
    <w:rsid w:val="003214AD"/>
    <w:rsid w:val="0032365C"/>
    <w:rsid w:val="003237A3"/>
    <w:rsid w:val="00324158"/>
    <w:rsid w:val="003246B7"/>
    <w:rsid w:val="00325041"/>
    <w:rsid w:val="00325218"/>
    <w:rsid w:val="003253EB"/>
    <w:rsid w:val="003255DF"/>
    <w:rsid w:val="00325975"/>
    <w:rsid w:val="00325E18"/>
    <w:rsid w:val="00326182"/>
    <w:rsid w:val="00326D00"/>
    <w:rsid w:val="00327C97"/>
    <w:rsid w:val="003301F9"/>
    <w:rsid w:val="00330591"/>
    <w:rsid w:val="00330DEC"/>
    <w:rsid w:val="00330FB8"/>
    <w:rsid w:val="003311EA"/>
    <w:rsid w:val="003315C5"/>
    <w:rsid w:val="00331A3B"/>
    <w:rsid w:val="0033204A"/>
    <w:rsid w:val="003329EB"/>
    <w:rsid w:val="00332B4C"/>
    <w:rsid w:val="0033444A"/>
    <w:rsid w:val="00334B48"/>
    <w:rsid w:val="003351CA"/>
    <w:rsid w:val="003356DE"/>
    <w:rsid w:val="003359A3"/>
    <w:rsid w:val="003360C5"/>
    <w:rsid w:val="0033627B"/>
    <w:rsid w:val="003364F5"/>
    <w:rsid w:val="0033653E"/>
    <w:rsid w:val="00336564"/>
    <w:rsid w:val="003366D2"/>
    <w:rsid w:val="003367B6"/>
    <w:rsid w:val="00336B5E"/>
    <w:rsid w:val="003371A2"/>
    <w:rsid w:val="00340495"/>
    <w:rsid w:val="003408CC"/>
    <w:rsid w:val="00340A29"/>
    <w:rsid w:val="00340D1D"/>
    <w:rsid w:val="00341873"/>
    <w:rsid w:val="0034195C"/>
    <w:rsid w:val="00341C87"/>
    <w:rsid w:val="00342552"/>
    <w:rsid w:val="00342853"/>
    <w:rsid w:val="00342C05"/>
    <w:rsid w:val="00342DF0"/>
    <w:rsid w:val="0034301D"/>
    <w:rsid w:val="00343134"/>
    <w:rsid w:val="00343AA2"/>
    <w:rsid w:val="00343BC4"/>
    <w:rsid w:val="00343CD1"/>
    <w:rsid w:val="00343D7D"/>
    <w:rsid w:val="00343EC6"/>
    <w:rsid w:val="0034427F"/>
    <w:rsid w:val="003444E7"/>
    <w:rsid w:val="0034487A"/>
    <w:rsid w:val="00345379"/>
    <w:rsid w:val="00345560"/>
    <w:rsid w:val="003456E7"/>
    <w:rsid w:val="00345A6B"/>
    <w:rsid w:val="0034722F"/>
    <w:rsid w:val="003474C7"/>
    <w:rsid w:val="0034779A"/>
    <w:rsid w:val="0035025F"/>
    <w:rsid w:val="00351578"/>
    <w:rsid w:val="003528FE"/>
    <w:rsid w:val="00352E06"/>
    <w:rsid w:val="00352F3D"/>
    <w:rsid w:val="0035427E"/>
    <w:rsid w:val="00354448"/>
    <w:rsid w:val="00354EFC"/>
    <w:rsid w:val="00354F11"/>
    <w:rsid w:val="00355032"/>
    <w:rsid w:val="003556EE"/>
    <w:rsid w:val="003559D3"/>
    <w:rsid w:val="00355A0D"/>
    <w:rsid w:val="0035617F"/>
    <w:rsid w:val="00356AD2"/>
    <w:rsid w:val="0035767D"/>
    <w:rsid w:val="00357DAA"/>
    <w:rsid w:val="003601B9"/>
    <w:rsid w:val="0036035D"/>
    <w:rsid w:val="00361D4F"/>
    <w:rsid w:val="003621AE"/>
    <w:rsid w:val="0036232C"/>
    <w:rsid w:val="0036282D"/>
    <w:rsid w:val="00363624"/>
    <w:rsid w:val="00364BD4"/>
    <w:rsid w:val="00365415"/>
    <w:rsid w:val="00365710"/>
    <w:rsid w:val="00365A43"/>
    <w:rsid w:val="00365AE3"/>
    <w:rsid w:val="00365F2D"/>
    <w:rsid w:val="003663D6"/>
    <w:rsid w:val="00366C2F"/>
    <w:rsid w:val="003677AD"/>
    <w:rsid w:val="003679FA"/>
    <w:rsid w:val="00367D66"/>
    <w:rsid w:val="00370532"/>
    <w:rsid w:val="00370811"/>
    <w:rsid w:val="003708E9"/>
    <w:rsid w:val="00370900"/>
    <w:rsid w:val="003709FB"/>
    <w:rsid w:val="00370CE8"/>
    <w:rsid w:val="00371550"/>
    <w:rsid w:val="00371744"/>
    <w:rsid w:val="00371D9E"/>
    <w:rsid w:val="0037241E"/>
    <w:rsid w:val="0037278E"/>
    <w:rsid w:val="00373ED8"/>
    <w:rsid w:val="00374248"/>
    <w:rsid w:val="00375601"/>
    <w:rsid w:val="00375645"/>
    <w:rsid w:val="003756DF"/>
    <w:rsid w:val="00375CC4"/>
    <w:rsid w:val="00376851"/>
    <w:rsid w:val="00376958"/>
    <w:rsid w:val="00376DE5"/>
    <w:rsid w:val="00377876"/>
    <w:rsid w:val="00377C65"/>
    <w:rsid w:val="003809B6"/>
    <w:rsid w:val="00381610"/>
    <w:rsid w:val="003819EA"/>
    <w:rsid w:val="00381C68"/>
    <w:rsid w:val="0038203F"/>
    <w:rsid w:val="0038220B"/>
    <w:rsid w:val="00382F50"/>
    <w:rsid w:val="0038385F"/>
    <w:rsid w:val="00384C40"/>
    <w:rsid w:val="00384C88"/>
    <w:rsid w:val="00384C96"/>
    <w:rsid w:val="00385595"/>
    <w:rsid w:val="00385DD6"/>
    <w:rsid w:val="00386108"/>
    <w:rsid w:val="003864D0"/>
    <w:rsid w:val="00386661"/>
    <w:rsid w:val="00386C5E"/>
    <w:rsid w:val="003877DD"/>
    <w:rsid w:val="00387CA6"/>
    <w:rsid w:val="00387EB0"/>
    <w:rsid w:val="003904AF"/>
    <w:rsid w:val="003909AA"/>
    <w:rsid w:val="00390AF0"/>
    <w:rsid w:val="003913AD"/>
    <w:rsid w:val="00391A25"/>
    <w:rsid w:val="003921E2"/>
    <w:rsid w:val="0039231B"/>
    <w:rsid w:val="003929BB"/>
    <w:rsid w:val="00392A32"/>
    <w:rsid w:val="00393038"/>
    <w:rsid w:val="00393598"/>
    <w:rsid w:val="003939CD"/>
    <w:rsid w:val="00393E14"/>
    <w:rsid w:val="00393E9A"/>
    <w:rsid w:val="00393F37"/>
    <w:rsid w:val="00393FC8"/>
    <w:rsid w:val="003957F1"/>
    <w:rsid w:val="003958E8"/>
    <w:rsid w:val="00395A81"/>
    <w:rsid w:val="00396032"/>
    <w:rsid w:val="00397598"/>
    <w:rsid w:val="00397759"/>
    <w:rsid w:val="003A0245"/>
    <w:rsid w:val="003A045B"/>
    <w:rsid w:val="003A08C1"/>
    <w:rsid w:val="003A0BAC"/>
    <w:rsid w:val="003A0C71"/>
    <w:rsid w:val="003A0EBE"/>
    <w:rsid w:val="003A0EF9"/>
    <w:rsid w:val="003A1100"/>
    <w:rsid w:val="003A1971"/>
    <w:rsid w:val="003A1CBA"/>
    <w:rsid w:val="003A1F24"/>
    <w:rsid w:val="003A2826"/>
    <w:rsid w:val="003A3175"/>
    <w:rsid w:val="003A35AB"/>
    <w:rsid w:val="003A37FF"/>
    <w:rsid w:val="003A3A3E"/>
    <w:rsid w:val="003A4366"/>
    <w:rsid w:val="003A5751"/>
    <w:rsid w:val="003A6032"/>
    <w:rsid w:val="003A6906"/>
    <w:rsid w:val="003A720E"/>
    <w:rsid w:val="003A753B"/>
    <w:rsid w:val="003A7671"/>
    <w:rsid w:val="003A76F4"/>
    <w:rsid w:val="003A7A8D"/>
    <w:rsid w:val="003B0ABF"/>
    <w:rsid w:val="003B0F4F"/>
    <w:rsid w:val="003B1281"/>
    <w:rsid w:val="003B14F9"/>
    <w:rsid w:val="003B1D12"/>
    <w:rsid w:val="003B1D45"/>
    <w:rsid w:val="003B237A"/>
    <w:rsid w:val="003B31FD"/>
    <w:rsid w:val="003B356C"/>
    <w:rsid w:val="003B382D"/>
    <w:rsid w:val="003B3FDB"/>
    <w:rsid w:val="003B4360"/>
    <w:rsid w:val="003B4A63"/>
    <w:rsid w:val="003B5361"/>
    <w:rsid w:val="003B55A2"/>
    <w:rsid w:val="003B56A9"/>
    <w:rsid w:val="003B58BD"/>
    <w:rsid w:val="003B5AE2"/>
    <w:rsid w:val="003B604D"/>
    <w:rsid w:val="003B63E4"/>
    <w:rsid w:val="003B6636"/>
    <w:rsid w:val="003B6951"/>
    <w:rsid w:val="003B7082"/>
    <w:rsid w:val="003B7B64"/>
    <w:rsid w:val="003C051E"/>
    <w:rsid w:val="003C1BFF"/>
    <w:rsid w:val="003C2059"/>
    <w:rsid w:val="003C2260"/>
    <w:rsid w:val="003C3EBC"/>
    <w:rsid w:val="003C51EC"/>
    <w:rsid w:val="003C52AC"/>
    <w:rsid w:val="003C530F"/>
    <w:rsid w:val="003C61C9"/>
    <w:rsid w:val="003C6879"/>
    <w:rsid w:val="003C6943"/>
    <w:rsid w:val="003C6C9A"/>
    <w:rsid w:val="003C6DE3"/>
    <w:rsid w:val="003C6E46"/>
    <w:rsid w:val="003C73C1"/>
    <w:rsid w:val="003C7B3D"/>
    <w:rsid w:val="003D052C"/>
    <w:rsid w:val="003D1473"/>
    <w:rsid w:val="003D15CE"/>
    <w:rsid w:val="003D1A53"/>
    <w:rsid w:val="003D2244"/>
    <w:rsid w:val="003D2E4F"/>
    <w:rsid w:val="003D3363"/>
    <w:rsid w:val="003D3A76"/>
    <w:rsid w:val="003D3BC0"/>
    <w:rsid w:val="003D3FED"/>
    <w:rsid w:val="003D416C"/>
    <w:rsid w:val="003D4CAE"/>
    <w:rsid w:val="003D5AF1"/>
    <w:rsid w:val="003D5B07"/>
    <w:rsid w:val="003D5C0B"/>
    <w:rsid w:val="003D5ED4"/>
    <w:rsid w:val="003D6010"/>
    <w:rsid w:val="003D6062"/>
    <w:rsid w:val="003D65AE"/>
    <w:rsid w:val="003D687D"/>
    <w:rsid w:val="003D6B36"/>
    <w:rsid w:val="003D7191"/>
    <w:rsid w:val="003E027D"/>
    <w:rsid w:val="003E07BE"/>
    <w:rsid w:val="003E0ECF"/>
    <w:rsid w:val="003E15D3"/>
    <w:rsid w:val="003E1B3A"/>
    <w:rsid w:val="003E1C9C"/>
    <w:rsid w:val="003E21F1"/>
    <w:rsid w:val="003E232C"/>
    <w:rsid w:val="003E338C"/>
    <w:rsid w:val="003E3858"/>
    <w:rsid w:val="003E4026"/>
    <w:rsid w:val="003E434B"/>
    <w:rsid w:val="003E4A52"/>
    <w:rsid w:val="003E5544"/>
    <w:rsid w:val="003E5607"/>
    <w:rsid w:val="003E61A1"/>
    <w:rsid w:val="003E7C30"/>
    <w:rsid w:val="003F0A99"/>
    <w:rsid w:val="003F172D"/>
    <w:rsid w:val="003F2575"/>
    <w:rsid w:val="003F2AA7"/>
    <w:rsid w:val="003F34B1"/>
    <w:rsid w:val="003F3647"/>
    <w:rsid w:val="003F36C4"/>
    <w:rsid w:val="003F3B09"/>
    <w:rsid w:val="003F3B4E"/>
    <w:rsid w:val="003F4B07"/>
    <w:rsid w:val="003F4E3E"/>
    <w:rsid w:val="003F53C9"/>
    <w:rsid w:val="003F55CF"/>
    <w:rsid w:val="003F5C3C"/>
    <w:rsid w:val="003F6579"/>
    <w:rsid w:val="003F6F12"/>
    <w:rsid w:val="003F71A1"/>
    <w:rsid w:val="003F74FF"/>
    <w:rsid w:val="003F78B0"/>
    <w:rsid w:val="003F7967"/>
    <w:rsid w:val="00400058"/>
    <w:rsid w:val="0040077F"/>
    <w:rsid w:val="004007C4"/>
    <w:rsid w:val="00400C31"/>
    <w:rsid w:val="0040126B"/>
    <w:rsid w:val="00402213"/>
    <w:rsid w:val="0040285E"/>
    <w:rsid w:val="00402B11"/>
    <w:rsid w:val="00402DB0"/>
    <w:rsid w:val="00402F79"/>
    <w:rsid w:val="004034CE"/>
    <w:rsid w:val="00403755"/>
    <w:rsid w:val="004054AE"/>
    <w:rsid w:val="004055B9"/>
    <w:rsid w:val="00405741"/>
    <w:rsid w:val="00405763"/>
    <w:rsid w:val="004057FA"/>
    <w:rsid w:val="00405ED4"/>
    <w:rsid w:val="004063F0"/>
    <w:rsid w:val="00406899"/>
    <w:rsid w:val="0041002A"/>
    <w:rsid w:val="00410657"/>
    <w:rsid w:val="004107B5"/>
    <w:rsid w:val="00410ED4"/>
    <w:rsid w:val="00411214"/>
    <w:rsid w:val="00411240"/>
    <w:rsid w:val="004117DA"/>
    <w:rsid w:val="00411C2C"/>
    <w:rsid w:val="004127AB"/>
    <w:rsid w:val="004136AB"/>
    <w:rsid w:val="004137E6"/>
    <w:rsid w:val="00413BA5"/>
    <w:rsid w:val="00413DA7"/>
    <w:rsid w:val="00413DA9"/>
    <w:rsid w:val="00414408"/>
    <w:rsid w:val="00414E3A"/>
    <w:rsid w:val="0041525B"/>
    <w:rsid w:val="00415AE6"/>
    <w:rsid w:val="00416845"/>
    <w:rsid w:val="004169A9"/>
    <w:rsid w:val="00416ABA"/>
    <w:rsid w:val="00417CB5"/>
    <w:rsid w:val="004201A7"/>
    <w:rsid w:val="00420274"/>
    <w:rsid w:val="004221DB"/>
    <w:rsid w:val="0042307E"/>
    <w:rsid w:val="004233FA"/>
    <w:rsid w:val="00423849"/>
    <w:rsid w:val="004238B6"/>
    <w:rsid w:val="00423FB5"/>
    <w:rsid w:val="00424098"/>
    <w:rsid w:val="00424A3E"/>
    <w:rsid w:val="00425833"/>
    <w:rsid w:val="00425FF8"/>
    <w:rsid w:val="00426566"/>
    <w:rsid w:val="00426AEF"/>
    <w:rsid w:val="00430653"/>
    <w:rsid w:val="0043073F"/>
    <w:rsid w:val="00431776"/>
    <w:rsid w:val="00432BEF"/>
    <w:rsid w:val="0043315E"/>
    <w:rsid w:val="00433E44"/>
    <w:rsid w:val="0043401B"/>
    <w:rsid w:val="00434052"/>
    <w:rsid w:val="004341C4"/>
    <w:rsid w:val="00434635"/>
    <w:rsid w:val="00434B08"/>
    <w:rsid w:val="004354C3"/>
    <w:rsid w:val="00435AA7"/>
    <w:rsid w:val="0043637A"/>
    <w:rsid w:val="00437644"/>
    <w:rsid w:val="0043774A"/>
    <w:rsid w:val="00437BD3"/>
    <w:rsid w:val="004402D7"/>
    <w:rsid w:val="00440758"/>
    <w:rsid w:val="00441A54"/>
    <w:rsid w:val="00442348"/>
    <w:rsid w:val="00442FA9"/>
    <w:rsid w:val="00443281"/>
    <w:rsid w:val="00443906"/>
    <w:rsid w:val="0044398D"/>
    <w:rsid w:val="00443BF8"/>
    <w:rsid w:val="00443F37"/>
    <w:rsid w:val="0044421D"/>
    <w:rsid w:val="00444CB3"/>
    <w:rsid w:val="00445EA6"/>
    <w:rsid w:val="00445FC6"/>
    <w:rsid w:val="004460DA"/>
    <w:rsid w:val="00446707"/>
    <w:rsid w:val="0044729C"/>
    <w:rsid w:val="004476D6"/>
    <w:rsid w:val="00447902"/>
    <w:rsid w:val="00447BDA"/>
    <w:rsid w:val="00447FC8"/>
    <w:rsid w:val="00450445"/>
    <w:rsid w:val="004506DE"/>
    <w:rsid w:val="004509AE"/>
    <w:rsid w:val="00450BDD"/>
    <w:rsid w:val="004513A4"/>
    <w:rsid w:val="00454431"/>
    <w:rsid w:val="0045451F"/>
    <w:rsid w:val="00454C65"/>
    <w:rsid w:val="00454D36"/>
    <w:rsid w:val="00454EB4"/>
    <w:rsid w:val="00455148"/>
    <w:rsid w:val="00455CE8"/>
    <w:rsid w:val="00455E8E"/>
    <w:rsid w:val="004569A7"/>
    <w:rsid w:val="0045729E"/>
    <w:rsid w:val="00457310"/>
    <w:rsid w:val="004574DF"/>
    <w:rsid w:val="00457513"/>
    <w:rsid w:val="0046082D"/>
    <w:rsid w:val="00460872"/>
    <w:rsid w:val="00460D6B"/>
    <w:rsid w:val="00461025"/>
    <w:rsid w:val="004613D7"/>
    <w:rsid w:val="004614EB"/>
    <w:rsid w:val="00462144"/>
    <w:rsid w:val="00462197"/>
    <w:rsid w:val="004635A0"/>
    <w:rsid w:val="00463B46"/>
    <w:rsid w:val="00463C52"/>
    <w:rsid w:val="0046422C"/>
    <w:rsid w:val="0046456C"/>
    <w:rsid w:val="00464691"/>
    <w:rsid w:val="00464B80"/>
    <w:rsid w:val="00464F25"/>
    <w:rsid w:val="0046505B"/>
    <w:rsid w:val="00465B9D"/>
    <w:rsid w:val="00465D3A"/>
    <w:rsid w:val="00465E77"/>
    <w:rsid w:val="00467A84"/>
    <w:rsid w:val="00467AD2"/>
    <w:rsid w:val="00470721"/>
    <w:rsid w:val="00470860"/>
    <w:rsid w:val="0047147D"/>
    <w:rsid w:val="004716D2"/>
    <w:rsid w:val="0047177B"/>
    <w:rsid w:val="00471E58"/>
    <w:rsid w:val="00472605"/>
    <w:rsid w:val="004738BC"/>
    <w:rsid w:val="00474DD0"/>
    <w:rsid w:val="004757AE"/>
    <w:rsid w:val="00475857"/>
    <w:rsid w:val="00475B29"/>
    <w:rsid w:val="004762C3"/>
    <w:rsid w:val="004762C4"/>
    <w:rsid w:val="004769B2"/>
    <w:rsid w:val="00476BBB"/>
    <w:rsid w:val="00476F6B"/>
    <w:rsid w:val="00476FA2"/>
    <w:rsid w:val="00477518"/>
    <w:rsid w:val="00477677"/>
    <w:rsid w:val="00477A51"/>
    <w:rsid w:val="00480038"/>
    <w:rsid w:val="004812AF"/>
    <w:rsid w:val="004813DE"/>
    <w:rsid w:val="0048247F"/>
    <w:rsid w:val="004825A8"/>
    <w:rsid w:val="00482E9A"/>
    <w:rsid w:val="00483653"/>
    <w:rsid w:val="00484064"/>
    <w:rsid w:val="0048494A"/>
    <w:rsid w:val="004849B0"/>
    <w:rsid w:val="00485DEB"/>
    <w:rsid w:val="00486F7D"/>
    <w:rsid w:val="00490649"/>
    <w:rsid w:val="00491804"/>
    <w:rsid w:val="00491C59"/>
    <w:rsid w:val="004925E6"/>
    <w:rsid w:val="00492863"/>
    <w:rsid w:val="00492AA7"/>
    <w:rsid w:val="00492C0A"/>
    <w:rsid w:val="00493A66"/>
    <w:rsid w:val="0049463E"/>
    <w:rsid w:val="00494ADA"/>
    <w:rsid w:val="00494C36"/>
    <w:rsid w:val="004952A9"/>
    <w:rsid w:val="00496433"/>
    <w:rsid w:val="004965C6"/>
    <w:rsid w:val="00497065"/>
    <w:rsid w:val="00497586"/>
    <w:rsid w:val="004A0169"/>
    <w:rsid w:val="004A07B2"/>
    <w:rsid w:val="004A09EE"/>
    <w:rsid w:val="004A11B7"/>
    <w:rsid w:val="004A1484"/>
    <w:rsid w:val="004A158B"/>
    <w:rsid w:val="004A16C2"/>
    <w:rsid w:val="004A1716"/>
    <w:rsid w:val="004A1A35"/>
    <w:rsid w:val="004A216D"/>
    <w:rsid w:val="004A23D9"/>
    <w:rsid w:val="004A24C5"/>
    <w:rsid w:val="004A2C44"/>
    <w:rsid w:val="004A3A04"/>
    <w:rsid w:val="004A3A5F"/>
    <w:rsid w:val="004A3E84"/>
    <w:rsid w:val="004A4029"/>
    <w:rsid w:val="004A42E3"/>
    <w:rsid w:val="004A4CE4"/>
    <w:rsid w:val="004A4D44"/>
    <w:rsid w:val="004A551A"/>
    <w:rsid w:val="004A55F9"/>
    <w:rsid w:val="004A5708"/>
    <w:rsid w:val="004A5AA0"/>
    <w:rsid w:val="004A5C17"/>
    <w:rsid w:val="004A78EE"/>
    <w:rsid w:val="004A7B74"/>
    <w:rsid w:val="004B1B89"/>
    <w:rsid w:val="004B1BF7"/>
    <w:rsid w:val="004B2B46"/>
    <w:rsid w:val="004B353B"/>
    <w:rsid w:val="004B3CBC"/>
    <w:rsid w:val="004B3FDE"/>
    <w:rsid w:val="004B448F"/>
    <w:rsid w:val="004B4589"/>
    <w:rsid w:val="004B462D"/>
    <w:rsid w:val="004B4F9B"/>
    <w:rsid w:val="004B5CB8"/>
    <w:rsid w:val="004B5CE5"/>
    <w:rsid w:val="004B60EC"/>
    <w:rsid w:val="004B6168"/>
    <w:rsid w:val="004B6639"/>
    <w:rsid w:val="004B7050"/>
    <w:rsid w:val="004B789D"/>
    <w:rsid w:val="004C0128"/>
    <w:rsid w:val="004C08A8"/>
    <w:rsid w:val="004C2547"/>
    <w:rsid w:val="004C2FEA"/>
    <w:rsid w:val="004C319A"/>
    <w:rsid w:val="004C35B3"/>
    <w:rsid w:val="004C35C0"/>
    <w:rsid w:val="004C42AC"/>
    <w:rsid w:val="004C46FF"/>
    <w:rsid w:val="004C5424"/>
    <w:rsid w:val="004C55A2"/>
    <w:rsid w:val="004C575D"/>
    <w:rsid w:val="004C5DC6"/>
    <w:rsid w:val="004C617C"/>
    <w:rsid w:val="004C740F"/>
    <w:rsid w:val="004C792D"/>
    <w:rsid w:val="004C7B3B"/>
    <w:rsid w:val="004D0D54"/>
    <w:rsid w:val="004D11CD"/>
    <w:rsid w:val="004D1A89"/>
    <w:rsid w:val="004D225B"/>
    <w:rsid w:val="004D2821"/>
    <w:rsid w:val="004D29B6"/>
    <w:rsid w:val="004D2EEC"/>
    <w:rsid w:val="004D3041"/>
    <w:rsid w:val="004D4039"/>
    <w:rsid w:val="004D4086"/>
    <w:rsid w:val="004D443F"/>
    <w:rsid w:val="004D559A"/>
    <w:rsid w:val="004D5F08"/>
    <w:rsid w:val="004D6025"/>
    <w:rsid w:val="004D6091"/>
    <w:rsid w:val="004D673A"/>
    <w:rsid w:val="004D678D"/>
    <w:rsid w:val="004D696E"/>
    <w:rsid w:val="004D72E0"/>
    <w:rsid w:val="004D78DD"/>
    <w:rsid w:val="004D78E2"/>
    <w:rsid w:val="004D7D1A"/>
    <w:rsid w:val="004E049F"/>
    <w:rsid w:val="004E13AB"/>
    <w:rsid w:val="004E14FB"/>
    <w:rsid w:val="004E161F"/>
    <w:rsid w:val="004E16E0"/>
    <w:rsid w:val="004E1B9C"/>
    <w:rsid w:val="004E1CCB"/>
    <w:rsid w:val="004E2416"/>
    <w:rsid w:val="004E2707"/>
    <w:rsid w:val="004E2E20"/>
    <w:rsid w:val="004E2F69"/>
    <w:rsid w:val="004E35DB"/>
    <w:rsid w:val="004E3942"/>
    <w:rsid w:val="004E4125"/>
    <w:rsid w:val="004E4869"/>
    <w:rsid w:val="004E4AEC"/>
    <w:rsid w:val="004E5016"/>
    <w:rsid w:val="004E52C7"/>
    <w:rsid w:val="004E5B78"/>
    <w:rsid w:val="004E6864"/>
    <w:rsid w:val="004E6E18"/>
    <w:rsid w:val="004F0589"/>
    <w:rsid w:val="004F058E"/>
    <w:rsid w:val="004F069E"/>
    <w:rsid w:val="004F0D76"/>
    <w:rsid w:val="004F0D96"/>
    <w:rsid w:val="004F1CD0"/>
    <w:rsid w:val="004F23B1"/>
    <w:rsid w:val="004F2545"/>
    <w:rsid w:val="004F2E4D"/>
    <w:rsid w:val="004F2EE8"/>
    <w:rsid w:val="004F3D64"/>
    <w:rsid w:val="004F4F3A"/>
    <w:rsid w:val="004F573A"/>
    <w:rsid w:val="004F58B9"/>
    <w:rsid w:val="004F697B"/>
    <w:rsid w:val="004F6DAA"/>
    <w:rsid w:val="004F7133"/>
    <w:rsid w:val="004F76BF"/>
    <w:rsid w:val="004F781C"/>
    <w:rsid w:val="004F7F4E"/>
    <w:rsid w:val="005009FC"/>
    <w:rsid w:val="00500A1C"/>
    <w:rsid w:val="00500C3E"/>
    <w:rsid w:val="0050121C"/>
    <w:rsid w:val="0050185E"/>
    <w:rsid w:val="00502203"/>
    <w:rsid w:val="00502220"/>
    <w:rsid w:val="0050227B"/>
    <w:rsid w:val="00502E6C"/>
    <w:rsid w:val="00503BA7"/>
    <w:rsid w:val="0050466A"/>
    <w:rsid w:val="005046EA"/>
    <w:rsid w:val="00504877"/>
    <w:rsid w:val="00505D1B"/>
    <w:rsid w:val="00506EAF"/>
    <w:rsid w:val="00506FF4"/>
    <w:rsid w:val="005074EE"/>
    <w:rsid w:val="005100AC"/>
    <w:rsid w:val="005100F6"/>
    <w:rsid w:val="005107A2"/>
    <w:rsid w:val="005108C7"/>
    <w:rsid w:val="00510BFB"/>
    <w:rsid w:val="00510FA1"/>
    <w:rsid w:val="00511015"/>
    <w:rsid w:val="005121C8"/>
    <w:rsid w:val="005124A1"/>
    <w:rsid w:val="00512622"/>
    <w:rsid w:val="00512B5C"/>
    <w:rsid w:val="00512CD8"/>
    <w:rsid w:val="00512D0C"/>
    <w:rsid w:val="00513835"/>
    <w:rsid w:val="00513AAD"/>
    <w:rsid w:val="00514340"/>
    <w:rsid w:val="00514E71"/>
    <w:rsid w:val="005151AB"/>
    <w:rsid w:val="005151D0"/>
    <w:rsid w:val="005151DD"/>
    <w:rsid w:val="0051552C"/>
    <w:rsid w:val="00515531"/>
    <w:rsid w:val="005155F6"/>
    <w:rsid w:val="0051562E"/>
    <w:rsid w:val="005160D8"/>
    <w:rsid w:val="005163D0"/>
    <w:rsid w:val="005172BB"/>
    <w:rsid w:val="005175F7"/>
    <w:rsid w:val="00517A2C"/>
    <w:rsid w:val="00517C08"/>
    <w:rsid w:val="00517CEC"/>
    <w:rsid w:val="00517E11"/>
    <w:rsid w:val="00517E35"/>
    <w:rsid w:val="0052020D"/>
    <w:rsid w:val="005208D1"/>
    <w:rsid w:val="00521C2C"/>
    <w:rsid w:val="00522029"/>
    <w:rsid w:val="00522245"/>
    <w:rsid w:val="00522565"/>
    <w:rsid w:val="00522BA4"/>
    <w:rsid w:val="00522C16"/>
    <w:rsid w:val="0052540D"/>
    <w:rsid w:val="00525552"/>
    <w:rsid w:val="005255AD"/>
    <w:rsid w:val="005257EB"/>
    <w:rsid w:val="0052589D"/>
    <w:rsid w:val="005271A8"/>
    <w:rsid w:val="005271C1"/>
    <w:rsid w:val="005273E1"/>
    <w:rsid w:val="00527873"/>
    <w:rsid w:val="005278C8"/>
    <w:rsid w:val="00527A5A"/>
    <w:rsid w:val="00527F7E"/>
    <w:rsid w:val="00530666"/>
    <w:rsid w:val="0053068D"/>
    <w:rsid w:val="005307F3"/>
    <w:rsid w:val="00530AF2"/>
    <w:rsid w:val="005310D0"/>
    <w:rsid w:val="005317EC"/>
    <w:rsid w:val="00531EE2"/>
    <w:rsid w:val="005320F3"/>
    <w:rsid w:val="005325F6"/>
    <w:rsid w:val="00532AA3"/>
    <w:rsid w:val="00532AA4"/>
    <w:rsid w:val="00533498"/>
    <w:rsid w:val="00533CEA"/>
    <w:rsid w:val="00533F16"/>
    <w:rsid w:val="00533F39"/>
    <w:rsid w:val="0053412A"/>
    <w:rsid w:val="00534580"/>
    <w:rsid w:val="005351DD"/>
    <w:rsid w:val="005351E6"/>
    <w:rsid w:val="005364C7"/>
    <w:rsid w:val="005369BA"/>
    <w:rsid w:val="00537C94"/>
    <w:rsid w:val="00537C9D"/>
    <w:rsid w:val="00537FC0"/>
    <w:rsid w:val="00540597"/>
    <w:rsid w:val="005406CA"/>
    <w:rsid w:val="0054080D"/>
    <w:rsid w:val="00540F26"/>
    <w:rsid w:val="00541980"/>
    <w:rsid w:val="00541B84"/>
    <w:rsid w:val="00541C1A"/>
    <w:rsid w:val="0054278A"/>
    <w:rsid w:val="00542858"/>
    <w:rsid w:val="00542D8C"/>
    <w:rsid w:val="00543164"/>
    <w:rsid w:val="0054391E"/>
    <w:rsid w:val="00543FA4"/>
    <w:rsid w:val="00544768"/>
    <w:rsid w:val="00545235"/>
    <w:rsid w:val="00545E9A"/>
    <w:rsid w:val="005466A6"/>
    <w:rsid w:val="005468AF"/>
    <w:rsid w:val="00546AA1"/>
    <w:rsid w:val="00546BFE"/>
    <w:rsid w:val="00547420"/>
    <w:rsid w:val="0054DA02"/>
    <w:rsid w:val="00550555"/>
    <w:rsid w:val="00550774"/>
    <w:rsid w:val="0055205A"/>
    <w:rsid w:val="00552250"/>
    <w:rsid w:val="0055261D"/>
    <w:rsid w:val="005527D6"/>
    <w:rsid w:val="00553052"/>
    <w:rsid w:val="00553E65"/>
    <w:rsid w:val="005543F9"/>
    <w:rsid w:val="00554DF7"/>
    <w:rsid w:val="00554F6B"/>
    <w:rsid w:val="005560A6"/>
    <w:rsid w:val="0055613D"/>
    <w:rsid w:val="0055621F"/>
    <w:rsid w:val="0055692A"/>
    <w:rsid w:val="00556BA9"/>
    <w:rsid w:val="00557EEC"/>
    <w:rsid w:val="00557FBA"/>
    <w:rsid w:val="00560651"/>
    <w:rsid w:val="005612E2"/>
    <w:rsid w:val="00561D55"/>
    <w:rsid w:val="0056245B"/>
    <w:rsid w:val="00562464"/>
    <w:rsid w:val="00562790"/>
    <w:rsid w:val="00562B42"/>
    <w:rsid w:val="00562DC4"/>
    <w:rsid w:val="005634FF"/>
    <w:rsid w:val="00563729"/>
    <w:rsid w:val="00564A09"/>
    <w:rsid w:val="00564C9B"/>
    <w:rsid w:val="00564D20"/>
    <w:rsid w:val="00565274"/>
    <w:rsid w:val="00565694"/>
    <w:rsid w:val="00565FF6"/>
    <w:rsid w:val="00566748"/>
    <w:rsid w:val="00566812"/>
    <w:rsid w:val="00566B6E"/>
    <w:rsid w:val="00566C2B"/>
    <w:rsid w:val="00566F91"/>
    <w:rsid w:val="0056744B"/>
    <w:rsid w:val="00570410"/>
    <w:rsid w:val="0057128D"/>
    <w:rsid w:val="00571843"/>
    <w:rsid w:val="0057231E"/>
    <w:rsid w:val="0057232F"/>
    <w:rsid w:val="005727E7"/>
    <w:rsid w:val="00572CF1"/>
    <w:rsid w:val="0057317A"/>
    <w:rsid w:val="005731BB"/>
    <w:rsid w:val="00573867"/>
    <w:rsid w:val="00574C10"/>
    <w:rsid w:val="00575AB4"/>
    <w:rsid w:val="00575EAC"/>
    <w:rsid w:val="005761FB"/>
    <w:rsid w:val="005762C8"/>
    <w:rsid w:val="005767DD"/>
    <w:rsid w:val="00576963"/>
    <w:rsid w:val="00576B81"/>
    <w:rsid w:val="005770F7"/>
    <w:rsid w:val="005773A6"/>
    <w:rsid w:val="00577B7D"/>
    <w:rsid w:val="00577CDE"/>
    <w:rsid w:val="00580172"/>
    <w:rsid w:val="0058065B"/>
    <w:rsid w:val="005807E2"/>
    <w:rsid w:val="00581649"/>
    <w:rsid w:val="00581A89"/>
    <w:rsid w:val="00582012"/>
    <w:rsid w:val="00582408"/>
    <w:rsid w:val="00583384"/>
    <w:rsid w:val="005834A0"/>
    <w:rsid w:val="00583D11"/>
    <w:rsid w:val="0058472B"/>
    <w:rsid w:val="00585CE2"/>
    <w:rsid w:val="00585F92"/>
    <w:rsid w:val="00586D2A"/>
    <w:rsid w:val="0058700D"/>
    <w:rsid w:val="005875CB"/>
    <w:rsid w:val="0058786A"/>
    <w:rsid w:val="0059026A"/>
    <w:rsid w:val="0059073E"/>
    <w:rsid w:val="005910E4"/>
    <w:rsid w:val="0059155A"/>
    <w:rsid w:val="005915CA"/>
    <w:rsid w:val="00591B2D"/>
    <w:rsid w:val="00591CAC"/>
    <w:rsid w:val="00591E51"/>
    <w:rsid w:val="005925F1"/>
    <w:rsid w:val="005927E6"/>
    <w:rsid w:val="005929A8"/>
    <w:rsid w:val="00592B2F"/>
    <w:rsid w:val="00593057"/>
    <w:rsid w:val="00593592"/>
    <w:rsid w:val="005937CF"/>
    <w:rsid w:val="00593847"/>
    <w:rsid w:val="00594721"/>
    <w:rsid w:val="005947A3"/>
    <w:rsid w:val="00594F6A"/>
    <w:rsid w:val="005950DF"/>
    <w:rsid w:val="0059568C"/>
    <w:rsid w:val="00595AED"/>
    <w:rsid w:val="0059611C"/>
    <w:rsid w:val="0059745E"/>
    <w:rsid w:val="00597553"/>
    <w:rsid w:val="005975B2"/>
    <w:rsid w:val="00597777"/>
    <w:rsid w:val="00597D29"/>
    <w:rsid w:val="00597EF7"/>
    <w:rsid w:val="00597FA2"/>
    <w:rsid w:val="005A021A"/>
    <w:rsid w:val="005A05C5"/>
    <w:rsid w:val="005A0662"/>
    <w:rsid w:val="005A06A5"/>
    <w:rsid w:val="005A0712"/>
    <w:rsid w:val="005A09D8"/>
    <w:rsid w:val="005A0DA3"/>
    <w:rsid w:val="005A2510"/>
    <w:rsid w:val="005A2993"/>
    <w:rsid w:val="005A2C1B"/>
    <w:rsid w:val="005A2C89"/>
    <w:rsid w:val="005A32BA"/>
    <w:rsid w:val="005A346B"/>
    <w:rsid w:val="005A5302"/>
    <w:rsid w:val="005A53D0"/>
    <w:rsid w:val="005A6327"/>
    <w:rsid w:val="005A6A2D"/>
    <w:rsid w:val="005A6E04"/>
    <w:rsid w:val="005A7096"/>
    <w:rsid w:val="005A7CA1"/>
    <w:rsid w:val="005B0484"/>
    <w:rsid w:val="005B071E"/>
    <w:rsid w:val="005B0B28"/>
    <w:rsid w:val="005B1259"/>
    <w:rsid w:val="005B150A"/>
    <w:rsid w:val="005B1C3E"/>
    <w:rsid w:val="005B1CB6"/>
    <w:rsid w:val="005B1F36"/>
    <w:rsid w:val="005B23CC"/>
    <w:rsid w:val="005B28F9"/>
    <w:rsid w:val="005B2908"/>
    <w:rsid w:val="005B304A"/>
    <w:rsid w:val="005B355B"/>
    <w:rsid w:val="005B5532"/>
    <w:rsid w:val="005B561E"/>
    <w:rsid w:val="005B57D7"/>
    <w:rsid w:val="005B5957"/>
    <w:rsid w:val="005B6D4B"/>
    <w:rsid w:val="005B6E92"/>
    <w:rsid w:val="005B71B0"/>
    <w:rsid w:val="005B7302"/>
    <w:rsid w:val="005C0025"/>
    <w:rsid w:val="005C00D9"/>
    <w:rsid w:val="005C068E"/>
    <w:rsid w:val="005C0CCB"/>
    <w:rsid w:val="005C0DD6"/>
    <w:rsid w:val="005C1A27"/>
    <w:rsid w:val="005C1EAC"/>
    <w:rsid w:val="005C2A68"/>
    <w:rsid w:val="005C2BE6"/>
    <w:rsid w:val="005C2C5E"/>
    <w:rsid w:val="005C2EB0"/>
    <w:rsid w:val="005C321C"/>
    <w:rsid w:val="005C346C"/>
    <w:rsid w:val="005C3B23"/>
    <w:rsid w:val="005C418E"/>
    <w:rsid w:val="005C434A"/>
    <w:rsid w:val="005C4401"/>
    <w:rsid w:val="005C549A"/>
    <w:rsid w:val="005C5627"/>
    <w:rsid w:val="005C5A59"/>
    <w:rsid w:val="005C60F9"/>
    <w:rsid w:val="005C6552"/>
    <w:rsid w:val="005C6AB6"/>
    <w:rsid w:val="005C7F17"/>
    <w:rsid w:val="005D0292"/>
    <w:rsid w:val="005D02A3"/>
    <w:rsid w:val="005D0DD0"/>
    <w:rsid w:val="005D1770"/>
    <w:rsid w:val="005D19B4"/>
    <w:rsid w:val="005D1FF9"/>
    <w:rsid w:val="005D2005"/>
    <w:rsid w:val="005D238E"/>
    <w:rsid w:val="005D24BA"/>
    <w:rsid w:val="005D2E9E"/>
    <w:rsid w:val="005D33E4"/>
    <w:rsid w:val="005D3B5D"/>
    <w:rsid w:val="005D46B6"/>
    <w:rsid w:val="005D4EC0"/>
    <w:rsid w:val="005D5293"/>
    <w:rsid w:val="005D5592"/>
    <w:rsid w:val="005D5F8F"/>
    <w:rsid w:val="005D7DF7"/>
    <w:rsid w:val="005E04B2"/>
    <w:rsid w:val="005E0AD2"/>
    <w:rsid w:val="005E1434"/>
    <w:rsid w:val="005E169C"/>
    <w:rsid w:val="005E19CA"/>
    <w:rsid w:val="005E1B47"/>
    <w:rsid w:val="005E24F4"/>
    <w:rsid w:val="005E25B0"/>
    <w:rsid w:val="005E25D8"/>
    <w:rsid w:val="005E2DF8"/>
    <w:rsid w:val="005E3064"/>
    <w:rsid w:val="005E3258"/>
    <w:rsid w:val="005E375A"/>
    <w:rsid w:val="005E37BF"/>
    <w:rsid w:val="005E38A5"/>
    <w:rsid w:val="005E4640"/>
    <w:rsid w:val="005E467C"/>
    <w:rsid w:val="005E4E36"/>
    <w:rsid w:val="005E62C1"/>
    <w:rsid w:val="005E6AD6"/>
    <w:rsid w:val="005E7180"/>
    <w:rsid w:val="005E7780"/>
    <w:rsid w:val="005E7A75"/>
    <w:rsid w:val="005E7B3E"/>
    <w:rsid w:val="005F0C13"/>
    <w:rsid w:val="005F100A"/>
    <w:rsid w:val="005F1015"/>
    <w:rsid w:val="005F229D"/>
    <w:rsid w:val="005F27ED"/>
    <w:rsid w:val="005F2E1C"/>
    <w:rsid w:val="005F3245"/>
    <w:rsid w:val="005F3465"/>
    <w:rsid w:val="005F34A6"/>
    <w:rsid w:val="005F35EC"/>
    <w:rsid w:val="005F36E3"/>
    <w:rsid w:val="005F3702"/>
    <w:rsid w:val="005F4128"/>
    <w:rsid w:val="005F426A"/>
    <w:rsid w:val="005F4364"/>
    <w:rsid w:val="005F4EC3"/>
    <w:rsid w:val="005F5EDD"/>
    <w:rsid w:val="005F60AA"/>
    <w:rsid w:val="005F615A"/>
    <w:rsid w:val="005F62C4"/>
    <w:rsid w:val="005F662D"/>
    <w:rsid w:val="00600640"/>
    <w:rsid w:val="00600979"/>
    <w:rsid w:val="00600DC6"/>
    <w:rsid w:val="00600FB7"/>
    <w:rsid w:val="0060160B"/>
    <w:rsid w:val="006023E7"/>
    <w:rsid w:val="00602550"/>
    <w:rsid w:val="00602AF0"/>
    <w:rsid w:val="00602B17"/>
    <w:rsid w:val="00602FD3"/>
    <w:rsid w:val="006031EF"/>
    <w:rsid w:val="00603620"/>
    <w:rsid w:val="006038D1"/>
    <w:rsid w:val="00603B85"/>
    <w:rsid w:val="00605086"/>
    <w:rsid w:val="00605A2C"/>
    <w:rsid w:val="00605BA6"/>
    <w:rsid w:val="00605D8D"/>
    <w:rsid w:val="00605E08"/>
    <w:rsid w:val="0060653F"/>
    <w:rsid w:val="006065A4"/>
    <w:rsid w:val="006073FF"/>
    <w:rsid w:val="00607E5E"/>
    <w:rsid w:val="006102BF"/>
    <w:rsid w:val="0061147F"/>
    <w:rsid w:val="006114CB"/>
    <w:rsid w:val="006117DC"/>
    <w:rsid w:val="00611926"/>
    <w:rsid w:val="00611955"/>
    <w:rsid w:val="00611C39"/>
    <w:rsid w:val="0061260D"/>
    <w:rsid w:val="006140B8"/>
    <w:rsid w:val="0061452C"/>
    <w:rsid w:val="00614BC7"/>
    <w:rsid w:val="00614E2F"/>
    <w:rsid w:val="00615625"/>
    <w:rsid w:val="006161D4"/>
    <w:rsid w:val="0061624B"/>
    <w:rsid w:val="006164C2"/>
    <w:rsid w:val="00616DF6"/>
    <w:rsid w:val="006172D1"/>
    <w:rsid w:val="006177F4"/>
    <w:rsid w:val="00617B5F"/>
    <w:rsid w:val="006202F1"/>
    <w:rsid w:val="006205AF"/>
    <w:rsid w:val="006208B5"/>
    <w:rsid w:val="006209F6"/>
    <w:rsid w:val="00620A9B"/>
    <w:rsid w:val="0062117D"/>
    <w:rsid w:val="00621256"/>
    <w:rsid w:val="0062147A"/>
    <w:rsid w:val="006218EA"/>
    <w:rsid w:val="00621AFB"/>
    <w:rsid w:val="00621F93"/>
    <w:rsid w:val="006229CE"/>
    <w:rsid w:val="00622C7F"/>
    <w:rsid w:val="0062349D"/>
    <w:rsid w:val="0062390C"/>
    <w:rsid w:val="006249BB"/>
    <w:rsid w:val="0062552E"/>
    <w:rsid w:val="0062687F"/>
    <w:rsid w:val="00626A39"/>
    <w:rsid w:val="00626DD0"/>
    <w:rsid w:val="006274D5"/>
    <w:rsid w:val="0062755E"/>
    <w:rsid w:val="006279F6"/>
    <w:rsid w:val="00627EF5"/>
    <w:rsid w:val="00631ACA"/>
    <w:rsid w:val="00632BFB"/>
    <w:rsid w:val="00633738"/>
    <w:rsid w:val="00633970"/>
    <w:rsid w:val="006344A7"/>
    <w:rsid w:val="00634BCF"/>
    <w:rsid w:val="00634F76"/>
    <w:rsid w:val="006356D9"/>
    <w:rsid w:val="00635A45"/>
    <w:rsid w:val="00635E64"/>
    <w:rsid w:val="00636168"/>
    <w:rsid w:val="00636898"/>
    <w:rsid w:val="00636B92"/>
    <w:rsid w:val="00636C05"/>
    <w:rsid w:val="006372BE"/>
    <w:rsid w:val="00640051"/>
    <w:rsid w:val="006404B5"/>
    <w:rsid w:val="0064064C"/>
    <w:rsid w:val="006409DE"/>
    <w:rsid w:val="00640CF3"/>
    <w:rsid w:val="00640D1D"/>
    <w:rsid w:val="00640DA3"/>
    <w:rsid w:val="0064193E"/>
    <w:rsid w:val="00641EE5"/>
    <w:rsid w:val="00641FEE"/>
    <w:rsid w:val="006421AF"/>
    <w:rsid w:val="00642451"/>
    <w:rsid w:val="00642E4D"/>
    <w:rsid w:val="00642E6C"/>
    <w:rsid w:val="006433DE"/>
    <w:rsid w:val="006435A9"/>
    <w:rsid w:val="00643A71"/>
    <w:rsid w:val="00643BE8"/>
    <w:rsid w:val="006441E8"/>
    <w:rsid w:val="0064497D"/>
    <w:rsid w:val="00644DCF"/>
    <w:rsid w:val="006456EA"/>
    <w:rsid w:val="006467C0"/>
    <w:rsid w:val="00647441"/>
    <w:rsid w:val="0064749C"/>
    <w:rsid w:val="00647D3F"/>
    <w:rsid w:val="00650031"/>
    <w:rsid w:val="00650960"/>
    <w:rsid w:val="00650F59"/>
    <w:rsid w:val="00651372"/>
    <w:rsid w:val="00652959"/>
    <w:rsid w:val="00652A30"/>
    <w:rsid w:val="00652D09"/>
    <w:rsid w:val="006532DC"/>
    <w:rsid w:val="006546DA"/>
    <w:rsid w:val="0065533F"/>
    <w:rsid w:val="00655715"/>
    <w:rsid w:val="006560D5"/>
    <w:rsid w:val="006562DA"/>
    <w:rsid w:val="00657E1B"/>
    <w:rsid w:val="0066008A"/>
    <w:rsid w:val="00660864"/>
    <w:rsid w:val="0066092C"/>
    <w:rsid w:val="00661DC7"/>
    <w:rsid w:val="00662710"/>
    <w:rsid w:val="00662EA5"/>
    <w:rsid w:val="0066364F"/>
    <w:rsid w:val="00663ECC"/>
    <w:rsid w:val="00664225"/>
    <w:rsid w:val="00664268"/>
    <w:rsid w:val="006642C6"/>
    <w:rsid w:val="006647A5"/>
    <w:rsid w:val="00664B64"/>
    <w:rsid w:val="00665342"/>
    <w:rsid w:val="00665822"/>
    <w:rsid w:val="006660C3"/>
    <w:rsid w:val="00666250"/>
    <w:rsid w:val="00666D4A"/>
    <w:rsid w:val="00667A62"/>
    <w:rsid w:val="00667C96"/>
    <w:rsid w:val="006700A8"/>
    <w:rsid w:val="00670153"/>
    <w:rsid w:val="00670295"/>
    <w:rsid w:val="00670523"/>
    <w:rsid w:val="006708CF"/>
    <w:rsid w:val="00670F61"/>
    <w:rsid w:val="006719CF"/>
    <w:rsid w:val="0067248E"/>
    <w:rsid w:val="006727E8"/>
    <w:rsid w:val="006737EE"/>
    <w:rsid w:val="00673E45"/>
    <w:rsid w:val="006745C8"/>
    <w:rsid w:val="00674725"/>
    <w:rsid w:val="00674DCB"/>
    <w:rsid w:val="006757B5"/>
    <w:rsid w:val="00675CA6"/>
    <w:rsid w:val="00675E56"/>
    <w:rsid w:val="0067623D"/>
    <w:rsid w:val="006775A2"/>
    <w:rsid w:val="0067781C"/>
    <w:rsid w:val="00677968"/>
    <w:rsid w:val="00677D94"/>
    <w:rsid w:val="00680F12"/>
    <w:rsid w:val="006811ED"/>
    <w:rsid w:val="0068121F"/>
    <w:rsid w:val="0068143F"/>
    <w:rsid w:val="006817A7"/>
    <w:rsid w:val="006817E2"/>
    <w:rsid w:val="00681CAB"/>
    <w:rsid w:val="00681D59"/>
    <w:rsid w:val="006827BD"/>
    <w:rsid w:val="00682DDF"/>
    <w:rsid w:val="006842D1"/>
    <w:rsid w:val="00684B67"/>
    <w:rsid w:val="00685554"/>
    <w:rsid w:val="00685B48"/>
    <w:rsid w:val="00686973"/>
    <w:rsid w:val="00686A76"/>
    <w:rsid w:val="00687287"/>
    <w:rsid w:val="00687C07"/>
    <w:rsid w:val="00690787"/>
    <w:rsid w:val="006912F4"/>
    <w:rsid w:val="00691301"/>
    <w:rsid w:val="00691307"/>
    <w:rsid w:val="006918F0"/>
    <w:rsid w:val="00691E5B"/>
    <w:rsid w:val="00692159"/>
    <w:rsid w:val="00692269"/>
    <w:rsid w:val="0069278F"/>
    <w:rsid w:val="0069286F"/>
    <w:rsid w:val="00692A4E"/>
    <w:rsid w:val="00692B7D"/>
    <w:rsid w:val="00692CA3"/>
    <w:rsid w:val="006937E8"/>
    <w:rsid w:val="00694161"/>
    <w:rsid w:val="006944F0"/>
    <w:rsid w:val="00694A26"/>
    <w:rsid w:val="006953C2"/>
    <w:rsid w:val="00695434"/>
    <w:rsid w:val="006955E8"/>
    <w:rsid w:val="00695797"/>
    <w:rsid w:val="00695896"/>
    <w:rsid w:val="00695B46"/>
    <w:rsid w:val="00695C68"/>
    <w:rsid w:val="00696AF9"/>
    <w:rsid w:val="00696D90"/>
    <w:rsid w:val="00697243"/>
    <w:rsid w:val="0069764F"/>
    <w:rsid w:val="00697CD7"/>
    <w:rsid w:val="006A0371"/>
    <w:rsid w:val="006A0466"/>
    <w:rsid w:val="006A0A3A"/>
    <w:rsid w:val="006A0ABE"/>
    <w:rsid w:val="006A21E5"/>
    <w:rsid w:val="006A2E13"/>
    <w:rsid w:val="006A32F2"/>
    <w:rsid w:val="006A33E5"/>
    <w:rsid w:val="006A35C6"/>
    <w:rsid w:val="006A3A5F"/>
    <w:rsid w:val="006A42D0"/>
    <w:rsid w:val="006A5229"/>
    <w:rsid w:val="006A53E9"/>
    <w:rsid w:val="006A5513"/>
    <w:rsid w:val="006A5D28"/>
    <w:rsid w:val="006A5E27"/>
    <w:rsid w:val="006A5F70"/>
    <w:rsid w:val="006A79B2"/>
    <w:rsid w:val="006B0677"/>
    <w:rsid w:val="006B087D"/>
    <w:rsid w:val="006B1434"/>
    <w:rsid w:val="006B1A92"/>
    <w:rsid w:val="006B1F96"/>
    <w:rsid w:val="006B2054"/>
    <w:rsid w:val="006B2B97"/>
    <w:rsid w:val="006B2C29"/>
    <w:rsid w:val="006B2C60"/>
    <w:rsid w:val="006B2F67"/>
    <w:rsid w:val="006B3B04"/>
    <w:rsid w:val="006B493F"/>
    <w:rsid w:val="006B5861"/>
    <w:rsid w:val="006B5B1D"/>
    <w:rsid w:val="006B677D"/>
    <w:rsid w:val="006B6998"/>
    <w:rsid w:val="006B69B1"/>
    <w:rsid w:val="006B6E8E"/>
    <w:rsid w:val="006B7832"/>
    <w:rsid w:val="006B7A9A"/>
    <w:rsid w:val="006C0899"/>
    <w:rsid w:val="006C0B76"/>
    <w:rsid w:val="006C11AE"/>
    <w:rsid w:val="006C1835"/>
    <w:rsid w:val="006C267A"/>
    <w:rsid w:val="006C2805"/>
    <w:rsid w:val="006C2B30"/>
    <w:rsid w:val="006C3069"/>
    <w:rsid w:val="006C30EF"/>
    <w:rsid w:val="006C341F"/>
    <w:rsid w:val="006C385B"/>
    <w:rsid w:val="006C3CAD"/>
    <w:rsid w:val="006C42CC"/>
    <w:rsid w:val="006C44CB"/>
    <w:rsid w:val="006C482F"/>
    <w:rsid w:val="006C5025"/>
    <w:rsid w:val="006C5201"/>
    <w:rsid w:val="006C58E7"/>
    <w:rsid w:val="006C5AC6"/>
    <w:rsid w:val="006C5EA9"/>
    <w:rsid w:val="006C5F12"/>
    <w:rsid w:val="006C603F"/>
    <w:rsid w:val="006C6113"/>
    <w:rsid w:val="006C62F4"/>
    <w:rsid w:val="006C6506"/>
    <w:rsid w:val="006C6B46"/>
    <w:rsid w:val="006C710F"/>
    <w:rsid w:val="006C7857"/>
    <w:rsid w:val="006D0299"/>
    <w:rsid w:val="006D09B1"/>
    <w:rsid w:val="006D1026"/>
    <w:rsid w:val="006D10A5"/>
    <w:rsid w:val="006D1419"/>
    <w:rsid w:val="006D14AA"/>
    <w:rsid w:val="006D2074"/>
    <w:rsid w:val="006D20B4"/>
    <w:rsid w:val="006D22D6"/>
    <w:rsid w:val="006D2544"/>
    <w:rsid w:val="006D2C9C"/>
    <w:rsid w:val="006D42A5"/>
    <w:rsid w:val="006D53C5"/>
    <w:rsid w:val="006D56FF"/>
    <w:rsid w:val="006D573E"/>
    <w:rsid w:val="006D5AB4"/>
    <w:rsid w:val="006D60F0"/>
    <w:rsid w:val="006D6B6F"/>
    <w:rsid w:val="006D6B96"/>
    <w:rsid w:val="006D75FB"/>
    <w:rsid w:val="006E0868"/>
    <w:rsid w:val="006E14BC"/>
    <w:rsid w:val="006E2333"/>
    <w:rsid w:val="006E373F"/>
    <w:rsid w:val="006E5219"/>
    <w:rsid w:val="006E6053"/>
    <w:rsid w:val="006E6655"/>
    <w:rsid w:val="006E6BA5"/>
    <w:rsid w:val="006E7167"/>
    <w:rsid w:val="006E72B4"/>
    <w:rsid w:val="006E746E"/>
    <w:rsid w:val="006E756A"/>
    <w:rsid w:val="006E7653"/>
    <w:rsid w:val="006E7A4D"/>
    <w:rsid w:val="006F0000"/>
    <w:rsid w:val="006F0990"/>
    <w:rsid w:val="006F0E3A"/>
    <w:rsid w:val="006F1D87"/>
    <w:rsid w:val="006F1DCC"/>
    <w:rsid w:val="006F2796"/>
    <w:rsid w:val="006F3B01"/>
    <w:rsid w:val="006F4118"/>
    <w:rsid w:val="006F4910"/>
    <w:rsid w:val="006F5547"/>
    <w:rsid w:val="006F5FAA"/>
    <w:rsid w:val="006F60CD"/>
    <w:rsid w:val="006F6EAF"/>
    <w:rsid w:val="006F74E7"/>
    <w:rsid w:val="00700361"/>
    <w:rsid w:val="00700D5F"/>
    <w:rsid w:val="00700ECF"/>
    <w:rsid w:val="00700F92"/>
    <w:rsid w:val="007015ED"/>
    <w:rsid w:val="0070216D"/>
    <w:rsid w:val="007038FB"/>
    <w:rsid w:val="00703D80"/>
    <w:rsid w:val="00703DCE"/>
    <w:rsid w:val="00704765"/>
    <w:rsid w:val="0070548C"/>
    <w:rsid w:val="00705AB9"/>
    <w:rsid w:val="00705EF9"/>
    <w:rsid w:val="00706DEB"/>
    <w:rsid w:val="00706E76"/>
    <w:rsid w:val="007075FF"/>
    <w:rsid w:val="0071029D"/>
    <w:rsid w:val="00710A0F"/>
    <w:rsid w:val="00710EE3"/>
    <w:rsid w:val="0071101E"/>
    <w:rsid w:val="007113BC"/>
    <w:rsid w:val="00711458"/>
    <w:rsid w:val="00711459"/>
    <w:rsid w:val="007118FF"/>
    <w:rsid w:val="00711AB3"/>
    <w:rsid w:val="00712103"/>
    <w:rsid w:val="00712271"/>
    <w:rsid w:val="00712660"/>
    <w:rsid w:val="00712E20"/>
    <w:rsid w:val="00712E5D"/>
    <w:rsid w:val="007144A9"/>
    <w:rsid w:val="00714760"/>
    <w:rsid w:val="00714C42"/>
    <w:rsid w:val="00715021"/>
    <w:rsid w:val="0071558C"/>
    <w:rsid w:val="00715737"/>
    <w:rsid w:val="007169FF"/>
    <w:rsid w:val="00717349"/>
    <w:rsid w:val="0071761A"/>
    <w:rsid w:val="0071768B"/>
    <w:rsid w:val="00717CF5"/>
    <w:rsid w:val="00717F2C"/>
    <w:rsid w:val="007200A9"/>
    <w:rsid w:val="007202F7"/>
    <w:rsid w:val="00720391"/>
    <w:rsid w:val="007207BD"/>
    <w:rsid w:val="00720A86"/>
    <w:rsid w:val="007219B9"/>
    <w:rsid w:val="00721F13"/>
    <w:rsid w:val="0072209E"/>
    <w:rsid w:val="00722C36"/>
    <w:rsid w:val="0072336E"/>
    <w:rsid w:val="00723524"/>
    <w:rsid w:val="00723B61"/>
    <w:rsid w:val="007244BE"/>
    <w:rsid w:val="0072454C"/>
    <w:rsid w:val="00724B11"/>
    <w:rsid w:val="00724DF2"/>
    <w:rsid w:val="00725B29"/>
    <w:rsid w:val="0072726A"/>
    <w:rsid w:val="00727FF8"/>
    <w:rsid w:val="00730903"/>
    <w:rsid w:val="00731759"/>
    <w:rsid w:val="00731CA3"/>
    <w:rsid w:val="00732178"/>
    <w:rsid w:val="00733A20"/>
    <w:rsid w:val="00733BA6"/>
    <w:rsid w:val="00733E3D"/>
    <w:rsid w:val="007345B6"/>
    <w:rsid w:val="00734DAB"/>
    <w:rsid w:val="00734F50"/>
    <w:rsid w:val="00735D4C"/>
    <w:rsid w:val="0073604A"/>
    <w:rsid w:val="007360D7"/>
    <w:rsid w:val="00736250"/>
    <w:rsid w:val="007365D8"/>
    <w:rsid w:val="007369B1"/>
    <w:rsid w:val="007376BB"/>
    <w:rsid w:val="0073771D"/>
    <w:rsid w:val="00737753"/>
    <w:rsid w:val="00737B3F"/>
    <w:rsid w:val="00737CA3"/>
    <w:rsid w:val="00737CF5"/>
    <w:rsid w:val="00737DB8"/>
    <w:rsid w:val="0074045D"/>
    <w:rsid w:val="00740B54"/>
    <w:rsid w:val="00740B82"/>
    <w:rsid w:val="00740D3F"/>
    <w:rsid w:val="00741462"/>
    <w:rsid w:val="0074193F"/>
    <w:rsid w:val="00741B29"/>
    <w:rsid w:val="007436E9"/>
    <w:rsid w:val="00743DDF"/>
    <w:rsid w:val="00743E28"/>
    <w:rsid w:val="00744013"/>
    <w:rsid w:val="00744047"/>
    <w:rsid w:val="007442B4"/>
    <w:rsid w:val="007446C1"/>
    <w:rsid w:val="00744C5C"/>
    <w:rsid w:val="00745DC2"/>
    <w:rsid w:val="00746283"/>
    <w:rsid w:val="00746477"/>
    <w:rsid w:val="007467E4"/>
    <w:rsid w:val="0074685D"/>
    <w:rsid w:val="00746B1E"/>
    <w:rsid w:val="00746BD1"/>
    <w:rsid w:val="007470F4"/>
    <w:rsid w:val="00747B36"/>
    <w:rsid w:val="00747EAC"/>
    <w:rsid w:val="007506B5"/>
    <w:rsid w:val="00750776"/>
    <w:rsid w:val="00750863"/>
    <w:rsid w:val="00750906"/>
    <w:rsid w:val="0075098D"/>
    <w:rsid w:val="00750D3A"/>
    <w:rsid w:val="007514D5"/>
    <w:rsid w:val="00751831"/>
    <w:rsid w:val="00751934"/>
    <w:rsid w:val="0075195F"/>
    <w:rsid w:val="00751969"/>
    <w:rsid w:val="00751A56"/>
    <w:rsid w:val="00752673"/>
    <w:rsid w:val="00752DF2"/>
    <w:rsid w:val="00753033"/>
    <w:rsid w:val="00753CE3"/>
    <w:rsid w:val="0075486B"/>
    <w:rsid w:val="0075510C"/>
    <w:rsid w:val="007551F7"/>
    <w:rsid w:val="00755E8D"/>
    <w:rsid w:val="007560D0"/>
    <w:rsid w:val="007563CC"/>
    <w:rsid w:val="0075673D"/>
    <w:rsid w:val="007567D8"/>
    <w:rsid w:val="00756A30"/>
    <w:rsid w:val="00756B6A"/>
    <w:rsid w:val="00756E6E"/>
    <w:rsid w:val="00757125"/>
    <w:rsid w:val="007572F7"/>
    <w:rsid w:val="00757517"/>
    <w:rsid w:val="00757845"/>
    <w:rsid w:val="007602B5"/>
    <w:rsid w:val="00760406"/>
    <w:rsid w:val="00760849"/>
    <w:rsid w:val="007609AC"/>
    <w:rsid w:val="00760A0B"/>
    <w:rsid w:val="00760AC1"/>
    <w:rsid w:val="00761892"/>
    <w:rsid w:val="00761F9D"/>
    <w:rsid w:val="00762450"/>
    <w:rsid w:val="007627C9"/>
    <w:rsid w:val="00762A48"/>
    <w:rsid w:val="00762F55"/>
    <w:rsid w:val="00762F60"/>
    <w:rsid w:val="00763426"/>
    <w:rsid w:val="007635E1"/>
    <w:rsid w:val="007637EC"/>
    <w:rsid w:val="00763C98"/>
    <w:rsid w:val="00763D01"/>
    <w:rsid w:val="00763EF8"/>
    <w:rsid w:val="00764778"/>
    <w:rsid w:val="0076517D"/>
    <w:rsid w:val="007651AC"/>
    <w:rsid w:val="00765253"/>
    <w:rsid w:val="0076561E"/>
    <w:rsid w:val="00765DFC"/>
    <w:rsid w:val="007664DA"/>
    <w:rsid w:val="00766715"/>
    <w:rsid w:val="007668E5"/>
    <w:rsid w:val="007675DD"/>
    <w:rsid w:val="00767A94"/>
    <w:rsid w:val="007702EF"/>
    <w:rsid w:val="007711C5"/>
    <w:rsid w:val="0077167E"/>
    <w:rsid w:val="00771923"/>
    <w:rsid w:val="00771A66"/>
    <w:rsid w:val="00772082"/>
    <w:rsid w:val="0077250D"/>
    <w:rsid w:val="0077281B"/>
    <w:rsid w:val="0077290D"/>
    <w:rsid w:val="00774C8B"/>
    <w:rsid w:val="007756EB"/>
    <w:rsid w:val="0077573B"/>
    <w:rsid w:val="00775B06"/>
    <w:rsid w:val="0077628D"/>
    <w:rsid w:val="0077659E"/>
    <w:rsid w:val="00776CFA"/>
    <w:rsid w:val="00776D86"/>
    <w:rsid w:val="00777123"/>
    <w:rsid w:val="00777353"/>
    <w:rsid w:val="00777574"/>
    <w:rsid w:val="007777C9"/>
    <w:rsid w:val="00777FE7"/>
    <w:rsid w:val="0078018B"/>
    <w:rsid w:val="007803B6"/>
    <w:rsid w:val="007804B8"/>
    <w:rsid w:val="00780653"/>
    <w:rsid w:val="007806E2"/>
    <w:rsid w:val="007807AC"/>
    <w:rsid w:val="00781EE7"/>
    <w:rsid w:val="00782027"/>
    <w:rsid w:val="0078206C"/>
    <w:rsid w:val="00782AE9"/>
    <w:rsid w:val="00782CC4"/>
    <w:rsid w:val="00783114"/>
    <w:rsid w:val="00783A09"/>
    <w:rsid w:val="00783BE7"/>
    <w:rsid w:val="00783DFD"/>
    <w:rsid w:val="0078443F"/>
    <w:rsid w:val="00784AE0"/>
    <w:rsid w:val="00785236"/>
    <w:rsid w:val="0078529A"/>
    <w:rsid w:val="007855F4"/>
    <w:rsid w:val="0078615C"/>
    <w:rsid w:val="007866C6"/>
    <w:rsid w:val="00786803"/>
    <w:rsid w:val="00787348"/>
    <w:rsid w:val="007874A1"/>
    <w:rsid w:val="007878EA"/>
    <w:rsid w:val="00787A95"/>
    <w:rsid w:val="00787C49"/>
    <w:rsid w:val="00790126"/>
    <w:rsid w:val="007903A3"/>
    <w:rsid w:val="00790560"/>
    <w:rsid w:val="00790B4C"/>
    <w:rsid w:val="007910E8"/>
    <w:rsid w:val="00791303"/>
    <w:rsid w:val="0079220F"/>
    <w:rsid w:val="007922D2"/>
    <w:rsid w:val="00792339"/>
    <w:rsid w:val="00792464"/>
    <w:rsid w:val="00793BE2"/>
    <w:rsid w:val="00794CDE"/>
    <w:rsid w:val="007959F6"/>
    <w:rsid w:val="00795B88"/>
    <w:rsid w:val="0079638D"/>
    <w:rsid w:val="00796774"/>
    <w:rsid w:val="007968B5"/>
    <w:rsid w:val="00796979"/>
    <w:rsid w:val="007A099C"/>
    <w:rsid w:val="007A0A9D"/>
    <w:rsid w:val="007A0C14"/>
    <w:rsid w:val="007A0FD0"/>
    <w:rsid w:val="007A12EE"/>
    <w:rsid w:val="007A15C7"/>
    <w:rsid w:val="007A239B"/>
    <w:rsid w:val="007A2530"/>
    <w:rsid w:val="007A257B"/>
    <w:rsid w:val="007A2835"/>
    <w:rsid w:val="007A2B73"/>
    <w:rsid w:val="007A2BAA"/>
    <w:rsid w:val="007A2CD3"/>
    <w:rsid w:val="007A3D6F"/>
    <w:rsid w:val="007A400C"/>
    <w:rsid w:val="007A4BDB"/>
    <w:rsid w:val="007A5121"/>
    <w:rsid w:val="007A607F"/>
    <w:rsid w:val="007A7135"/>
    <w:rsid w:val="007A7595"/>
    <w:rsid w:val="007A769D"/>
    <w:rsid w:val="007B063C"/>
    <w:rsid w:val="007B096D"/>
    <w:rsid w:val="007B0FA8"/>
    <w:rsid w:val="007B1425"/>
    <w:rsid w:val="007B1CFD"/>
    <w:rsid w:val="007B1F1C"/>
    <w:rsid w:val="007B2BCA"/>
    <w:rsid w:val="007B326E"/>
    <w:rsid w:val="007B36CB"/>
    <w:rsid w:val="007B399F"/>
    <w:rsid w:val="007B51E1"/>
    <w:rsid w:val="007B55EF"/>
    <w:rsid w:val="007B5662"/>
    <w:rsid w:val="007B5815"/>
    <w:rsid w:val="007B6685"/>
    <w:rsid w:val="007B750B"/>
    <w:rsid w:val="007B78A1"/>
    <w:rsid w:val="007B7D12"/>
    <w:rsid w:val="007C1057"/>
    <w:rsid w:val="007C113D"/>
    <w:rsid w:val="007C18D6"/>
    <w:rsid w:val="007C1DAA"/>
    <w:rsid w:val="007C2082"/>
    <w:rsid w:val="007C22A0"/>
    <w:rsid w:val="007C24D3"/>
    <w:rsid w:val="007C2B41"/>
    <w:rsid w:val="007C32B0"/>
    <w:rsid w:val="007C53F9"/>
    <w:rsid w:val="007C5C61"/>
    <w:rsid w:val="007C6D58"/>
    <w:rsid w:val="007C728A"/>
    <w:rsid w:val="007C7CD7"/>
    <w:rsid w:val="007C7FFE"/>
    <w:rsid w:val="007D01DB"/>
    <w:rsid w:val="007D0618"/>
    <w:rsid w:val="007D0954"/>
    <w:rsid w:val="007D0EEC"/>
    <w:rsid w:val="007D0EF9"/>
    <w:rsid w:val="007D151C"/>
    <w:rsid w:val="007D1604"/>
    <w:rsid w:val="007D2ECD"/>
    <w:rsid w:val="007D3055"/>
    <w:rsid w:val="007D34BB"/>
    <w:rsid w:val="007D3BD6"/>
    <w:rsid w:val="007D4174"/>
    <w:rsid w:val="007D4369"/>
    <w:rsid w:val="007D4503"/>
    <w:rsid w:val="007D4C14"/>
    <w:rsid w:val="007D5684"/>
    <w:rsid w:val="007D5E8A"/>
    <w:rsid w:val="007D6550"/>
    <w:rsid w:val="007D65BD"/>
    <w:rsid w:val="007D6A1B"/>
    <w:rsid w:val="007D76AF"/>
    <w:rsid w:val="007D7940"/>
    <w:rsid w:val="007D7B97"/>
    <w:rsid w:val="007E05FF"/>
    <w:rsid w:val="007E10A5"/>
    <w:rsid w:val="007E18C8"/>
    <w:rsid w:val="007E1BDA"/>
    <w:rsid w:val="007E25E8"/>
    <w:rsid w:val="007E2663"/>
    <w:rsid w:val="007E37AA"/>
    <w:rsid w:val="007E3B66"/>
    <w:rsid w:val="007E4141"/>
    <w:rsid w:val="007E4472"/>
    <w:rsid w:val="007E4D66"/>
    <w:rsid w:val="007E58FE"/>
    <w:rsid w:val="007E648B"/>
    <w:rsid w:val="007E6847"/>
    <w:rsid w:val="007E6E17"/>
    <w:rsid w:val="007E6FFE"/>
    <w:rsid w:val="007E71AE"/>
    <w:rsid w:val="007E71FF"/>
    <w:rsid w:val="007E760A"/>
    <w:rsid w:val="007E7E65"/>
    <w:rsid w:val="007F0E83"/>
    <w:rsid w:val="007F0F72"/>
    <w:rsid w:val="007F1355"/>
    <w:rsid w:val="007F1723"/>
    <w:rsid w:val="007F1728"/>
    <w:rsid w:val="007F1E42"/>
    <w:rsid w:val="007F2875"/>
    <w:rsid w:val="007F2FD9"/>
    <w:rsid w:val="007F3543"/>
    <w:rsid w:val="007F4071"/>
    <w:rsid w:val="007F4237"/>
    <w:rsid w:val="007F4402"/>
    <w:rsid w:val="007F60F2"/>
    <w:rsid w:val="007F69C3"/>
    <w:rsid w:val="007F7813"/>
    <w:rsid w:val="007F784E"/>
    <w:rsid w:val="007F7DFA"/>
    <w:rsid w:val="00800799"/>
    <w:rsid w:val="00800DA4"/>
    <w:rsid w:val="00801740"/>
    <w:rsid w:val="008019E8"/>
    <w:rsid w:val="00801AA8"/>
    <w:rsid w:val="00802149"/>
    <w:rsid w:val="008031F9"/>
    <w:rsid w:val="0080353B"/>
    <w:rsid w:val="00804724"/>
    <w:rsid w:val="00804D1D"/>
    <w:rsid w:val="00805736"/>
    <w:rsid w:val="0080586F"/>
    <w:rsid w:val="00806AB4"/>
    <w:rsid w:val="0080711A"/>
    <w:rsid w:val="008073D1"/>
    <w:rsid w:val="00807AFE"/>
    <w:rsid w:val="00807FD5"/>
    <w:rsid w:val="00810C23"/>
    <w:rsid w:val="008110A4"/>
    <w:rsid w:val="00811458"/>
    <w:rsid w:val="00811C73"/>
    <w:rsid w:val="00811DEC"/>
    <w:rsid w:val="00811FC7"/>
    <w:rsid w:val="00811FE1"/>
    <w:rsid w:val="00812393"/>
    <w:rsid w:val="008139B7"/>
    <w:rsid w:val="0081462D"/>
    <w:rsid w:val="00814876"/>
    <w:rsid w:val="008164D7"/>
    <w:rsid w:val="00816822"/>
    <w:rsid w:val="00816A0B"/>
    <w:rsid w:val="0081703F"/>
    <w:rsid w:val="0081707D"/>
    <w:rsid w:val="008178C1"/>
    <w:rsid w:val="00817CB5"/>
    <w:rsid w:val="00817DE8"/>
    <w:rsid w:val="00820235"/>
    <w:rsid w:val="008204FF"/>
    <w:rsid w:val="0082083A"/>
    <w:rsid w:val="00820C13"/>
    <w:rsid w:val="00820D3C"/>
    <w:rsid w:val="008213A6"/>
    <w:rsid w:val="008216DD"/>
    <w:rsid w:val="00821F08"/>
    <w:rsid w:val="00822449"/>
    <w:rsid w:val="0082264D"/>
    <w:rsid w:val="008235D6"/>
    <w:rsid w:val="0082397C"/>
    <w:rsid w:val="00823AE9"/>
    <w:rsid w:val="008243AF"/>
    <w:rsid w:val="00824560"/>
    <w:rsid w:val="00825094"/>
    <w:rsid w:val="0082559E"/>
    <w:rsid w:val="0082635C"/>
    <w:rsid w:val="00827343"/>
    <w:rsid w:val="008277C3"/>
    <w:rsid w:val="00827A3C"/>
    <w:rsid w:val="00827E7D"/>
    <w:rsid w:val="008305E6"/>
    <w:rsid w:val="008307C8"/>
    <w:rsid w:val="00830C6A"/>
    <w:rsid w:val="00830CF4"/>
    <w:rsid w:val="00831538"/>
    <w:rsid w:val="00831E8D"/>
    <w:rsid w:val="008320E0"/>
    <w:rsid w:val="00832859"/>
    <w:rsid w:val="00832985"/>
    <w:rsid w:val="00832B03"/>
    <w:rsid w:val="00833512"/>
    <w:rsid w:val="008344E0"/>
    <w:rsid w:val="00834A7E"/>
    <w:rsid w:val="00834CC5"/>
    <w:rsid w:val="00835BB8"/>
    <w:rsid w:val="00836504"/>
    <w:rsid w:val="00836C4D"/>
    <w:rsid w:val="0083788F"/>
    <w:rsid w:val="00837E34"/>
    <w:rsid w:val="00837E4A"/>
    <w:rsid w:val="008401E6"/>
    <w:rsid w:val="00840294"/>
    <w:rsid w:val="008405A3"/>
    <w:rsid w:val="008409D5"/>
    <w:rsid w:val="00840C28"/>
    <w:rsid w:val="00840D25"/>
    <w:rsid w:val="00840F89"/>
    <w:rsid w:val="0084156D"/>
    <w:rsid w:val="00842A35"/>
    <w:rsid w:val="00842ACE"/>
    <w:rsid w:val="0084318F"/>
    <w:rsid w:val="008431DA"/>
    <w:rsid w:val="008433E6"/>
    <w:rsid w:val="0084437C"/>
    <w:rsid w:val="00844568"/>
    <w:rsid w:val="0084648B"/>
    <w:rsid w:val="008467E8"/>
    <w:rsid w:val="00846F18"/>
    <w:rsid w:val="008472F5"/>
    <w:rsid w:val="0084736B"/>
    <w:rsid w:val="008474EA"/>
    <w:rsid w:val="008477F9"/>
    <w:rsid w:val="00849541"/>
    <w:rsid w:val="0085068B"/>
    <w:rsid w:val="00850A89"/>
    <w:rsid w:val="0085117F"/>
    <w:rsid w:val="00851AB7"/>
    <w:rsid w:val="00851C8F"/>
    <w:rsid w:val="00851E9C"/>
    <w:rsid w:val="00851EDB"/>
    <w:rsid w:val="00852D55"/>
    <w:rsid w:val="00852DAB"/>
    <w:rsid w:val="0085341C"/>
    <w:rsid w:val="00853467"/>
    <w:rsid w:val="00853C78"/>
    <w:rsid w:val="00853D01"/>
    <w:rsid w:val="00854BB7"/>
    <w:rsid w:val="00854ED6"/>
    <w:rsid w:val="008551C0"/>
    <w:rsid w:val="008552A4"/>
    <w:rsid w:val="008562BB"/>
    <w:rsid w:val="008562CA"/>
    <w:rsid w:val="0085656F"/>
    <w:rsid w:val="008566C4"/>
    <w:rsid w:val="00856D3D"/>
    <w:rsid w:val="008571FA"/>
    <w:rsid w:val="008579C6"/>
    <w:rsid w:val="00857F01"/>
    <w:rsid w:val="008600C4"/>
    <w:rsid w:val="008600C6"/>
    <w:rsid w:val="00861C66"/>
    <w:rsid w:val="00861C79"/>
    <w:rsid w:val="00861EFD"/>
    <w:rsid w:val="008622CE"/>
    <w:rsid w:val="0086236D"/>
    <w:rsid w:val="008625C9"/>
    <w:rsid w:val="00862B7F"/>
    <w:rsid w:val="00862BCC"/>
    <w:rsid w:val="00863243"/>
    <w:rsid w:val="00863A2D"/>
    <w:rsid w:val="00864162"/>
    <w:rsid w:val="008642F8"/>
    <w:rsid w:val="008646A0"/>
    <w:rsid w:val="00864768"/>
    <w:rsid w:val="008647A7"/>
    <w:rsid w:val="00864920"/>
    <w:rsid w:val="00864F04"/>
    <w:rsid w:val="008652DB"/>
    <w:rsid w:val="00865CFB"/>
    <w:rsid w:val="00866832"/>
    <w:rsid w:val="00866983"/>
    <w:rsid w:val="00866ED6"/>
    <w:rsid w:val="008675B5"/>
    <w:rsid w:val="00867C8D"/>
    <w:rsid w:val="00867E49"/>
    <w:rsid w:val="008701D2"/>
    <w:rsid w:val="00870DAB"/>
    <w:rsid w:val="00870EF2"/>
    <w:rsid w:val="008715F9"/>
    <w:rsid w:val="00871D8B"/>
    <w:rsid w:val="008727E0"/>
    <w:rsid w:val="00872831"/>
    <w:rsid w:val="008731AF"/>
    <w:rsid w:val="008735DC"/>
    <w:rsid w:val="00873A25"/>
    <w:rsid w:val="00874903"/>
    <w:rsid w:val="00874EC0"/>
    <w:rsid w:val="00874FFB"/>
    <w:rsid w:val="00875E5C"/>
    <w:rsid w:val="00876427"/>
    <w:rsid w:val="0087655B"/>
    <w:rsid w:val="00876C71"/>
    <w:rsid w:val="00876DC5"/>
    <w:rsid w:val="0087715C"/>
    <w:rsid w:val="0087723D"/>
    <w:rsid w:val="008803B4"/>
    <w:rsid w:val="0088059D"/>
    <w:rsid w:val="0088119C"/>
    <w:rsid w:val="00881312"/>
    <w:rsid w:val="00881B1E"/>
    <w:rsid w:val="00881D7D"/>
    <w:rsid w:val="008829C3"/>
    <w:rsid w:val="00882A80"/>
    <w:rsid w:val="00882BFE"/>
    <w:rsid w:val="00882FDF"/>
    <w:rsid w:val="0088324D"/>
    <w:rsid w:val="008836A1"/>
    <w:rsid w:val="008849A9"/>
    <w:rsid w:val="00884EA6"/>
    <w:rsid w:val="008852BB"/>
    <w:rsid w:val="00885AD7"/>
    <w:rsid w:val="00885DAC"/>
    <w:rsid w:val="008865E7"/>
    <w:rsid w:val="008866A0"/>
    <w:rsid w:val="00886DAE"/>
    <w:rsid w:val="00887706"/>
    <w:rsid w:val="00887BAE"/>
    <w:rsid w:val="00890111"/>
    <w:rsid w:val="0089053D"/>
    <w:rsid w:val="00890B97"/>
    <w:rsid w:val="00890C5E"/>
    <w:rsid w:val="00891011"/>
    <w:rsid w:val="0089116A"/>
    <w:rsid w:val="00891F53"/>
    <w:rsid w:val="00892020"/>
    <w:rsid w:val="00892B5C"/>
    <w:rsid w:val="0089314C"/>
    <w:rsid w:val="00893212"/>
    <w:rsid w:val="0089347B"/>
    <w:rsid w:val="0089356D"/>
    <w:rsid w:val="008936B2"/>
    <w:rsid w:val="00893761"/>
    <w:rsid w:val="00893975"/>
    <w:rsid w:val="00893A23"/>
    <w:rsid w:val="00894B05"/>
    <w:rsid w:val="00895647"/>
    <w:rsid w:val="00895980"/>
    <w:rsid w:val="00895B24"/>
    <w:rsid w:val="00895FDB"/>
    <w:rsid w:val="00896109"/>
    <w:rsid w:val="008963E2"/>
    <w:rsid w:val="008963FA"/>
    <w:rsid w:val="00897457"/>
    <w:rsid w:val="00897483"/>
    <w:rsid w:val="0089757E"/>
    <w:rsid w:val="00897DEA"/>
    <w:rsid w:val="00897FEB"/>
    <w:rsid w:val="008A0784"/>
    <w:rsid w:val="008A0C8F"/>
    <w:rsid w:val="008A139B"/>
    <w:rsid w:val="008A1551"/>
    <w:rsid w:val="008A1671"/>
    <w:rsid w:val="008A1BAE"/>
    <w:rsid w:val="008A1BBB"/>
    <w:rsid w:val="008A2305"/>
    <w:rsid w:val="008A23EB"/>
    <w:rsid w:val="008A2748"/>
    <w:rsid w:val="008A35F4"/>
    <w:rsid w:val="008A36C4"/>
    <w:rsid w:val="008A3C7E"/>
    <w:rsid w:val="008A3CC5"/>
    <w:rsid w:val="008A3F58"/>
    <w:rsid w:val="008A45A6"/>
    <w:rsid w:val="008A462A"/>
    <w:rsid w:val="008A46A5"/>
    <w:rsid w:val="008A49E6"/>
    <w:rsid w:val="008A4B75"/>
    <w:rsid w:val="008A5157"/>
    <w:rsid w:val="008A51E7"/>
    <w:rsid w:val="008A5887"/>
    <w:rsid w:val="008A589C"/>
    <w:rsid w:val="008A6535"/>
    <w:rsid w:val="008A65DC"/>
    <w:rsid w:val="008A6C90"/>
    <w:rsid w:val="008A718A"/>
    <w:rsid w:val="008A75D7"/>
    <w:rsid w:val="008A78E3"/>
    <w:rsid w:val="008A7E28"/>
    <w:rsid w:val="008B021B"/>
    <w:rsid w:val="008B04B2"/>
    <w:rsid w:val="008B0621"/>
    <w:rsid w:val="008B068F"/>
    <w:rsid w:val="008B1289"/>
    <w:rsid w:val="008B14D2"/>
    <w:rsid w:val="008B15D3"/>
    <w:rsid w:val="008B1B01"/>
    <w:rsid w:val="008B1DF0"/>
    <w:rsid w:val="008B1E4D"/>
    <w:rsid w:val="008B2B7C"/>
    <w:rsid w:val="008B2D23"/>
    <w:rsid w:val="008B3D06"/>
    <w:rsid w:val="008B4278"/>
    <w:rsid w:val="008B4BDD"/>
    <w:rsid w:val="008B574C"/>
    <w:rsid w:val="008B68F5"/>
    <w:rsid w:val="008B6F58"/>
    <w:rsid w:val="008B71C8"/>
    <w:rsid w:val="008B7804"/>
    <w:rsid w:val="008B7EC3"/>
    <w:rsid w:val="008C06AB"/>
    <w:rsid w:val="008C071B"/>
    <w:rsid w:val="008C193F"/>
    <w:rsid w:val="008C2237"/>
    <w:rsid w:val="008C24D9"/>
    <w:rsid w:val="008C26F9"/>
    <w:rsid w:val="008C29C9"/>
    <w:rsid w:val="008C2DC9"/>
    <w:rsid w:val="008C33A9"/>
    <w:rsid w:val="008C3A39"/>
    <w:rsid w:val="008C3BF8"/>
    <w:rsid w:val="008C3C6C"/>
    <w:rsid w:val="008C3F0B"/>
    <w:rsid w:val="008C4112"/>
    <w:rsid w:val="008C4464"/>
    <w:rsid w:val="008C474C"/>
    <w:rsid w:val="008C55D7"/>
    <w:rsid w:val="008C5E9C"/>
    <w:rsid w:val="008C6104"/>
    <w:rsid w:val="008C6515"/>
    <w:rsid w:val="008C6628"/>
    <w:rsid w:val="008C6A02"/>
    <w:rsid w:val="008C6AC5"/>
    <w:rsid w:val="008C6D9D"/>
    <w:rsid w:val="008C6F24"/>
    <w:rsid w:val="008C74D8"/>
    <w:rsid w:val="008C7F9B"/>
    <w:rsid w:val="008C7FD3"/>
    <w:rsid w:val="008D0275"/>
    <w:rsid w:val="008D0FD9"/>
    <w:rsid w:val="008D11BF"/>
    <w:rsid w:val="008D1261"/>
    <w:rsid w:val="008D1608"/>
    <w:rsid w:val="008D1894"/>
    <w:rsid w:val="008D1B27"/>
    <w:rsid w:val="008D21C4"/>
    <w:rsid w:val="008D23D3"/>
    <w:rsid w:val="008D40B6"/>
    <w:rsid w:val="008D546D"/>
    <w:rsid w:val="008D54D9"/>
    <w:rsid w:val="008D59A1"/>
    <w:rsid w:val="008D67AB"/>
    <w:rsid w:val="008D705A"/>
    <w:rsid w:val="008D792D"/>
    <w:rsid w:val="008D7B1C"/>
    <w:rsid w:val="008E050F"/>
    <w:rsid w:val="008E07FC"/>
    <w:rsid w:val="008E184A"/>
    <w:rsid w:val="008E1F9C"/>
    <w:rsid w:val="008E2B92"/>
    <w:rsid w:val="008E2BE4"/>
    <w:rsid w:val="008E2F04"/>
    <w:rsid w:val="008E3684"/>
    <w:rsid w:val="008E4B07"/>
    <w:rsid w:val="008E5179"/>
    <w:rsid w:val="008E51DA"/>
    <w:rsid w:val="008E5987"/>
    <w:rsid w:val="008E5E46"/>
    <w:rsid w:val="008E5F7C"/>
    <w:rsid w:val="008E673B"/>
    <w:rsid w:val="008E7250"/>
    <w:rsid w:val="008E7882"/>
    <w:rsid w:val="008E791E"/>
    <w:rsid w:val="008F04F4"/>
    <w:rsid w:val="008F0562"/>
    <w:rsid w:val="008F0D56"/>
    <w:rsid w:val="008F0D89"/>
    <w:rsid w:val="008F1BC7"/>
    <w:rsid w:val="008F214F"/>
    <w:rsid w:val="008F2912"/>
    <w:rsid w:val="008F2A87"/>
    <w:rsid w:val="008F3071"/>
    <w:rsid w:val="008F355E"/>
    <w:rsid w:val="008F3AD5"/>
    <w:rsid w:val="008F441A"/>
    <w:rsid w:val="008F4478"/>
    <w:rsid w:val="008F482B"/>
    <w:rsid w:val="008F4C82"/>
    <w:rsid w:val="008F4E68"/>
    <w:rsid w:val="008F4F57"/>
    <w:rsid w:val="008F52D9"/>
    <w:rsid w:val="008F5F58"/>
    <w:rsid w:val="008F600C"/>
    <w:rsid w:val="008F60EA"/>
    <w:rsid w:val="008F663C"/>
    <w:rsid w:val="008F68AF"/>
    <w:rsid w:val="008F703B"/>
    <w:rsid w:val="008F7157"/>
    <w:rsid w:val="008F7D07"/>
    <w:rsid w:val="008F7D31"/>
    <w:rsid w:val="008F7DA6"/>
    <w:rsid w:val="00900808"/>
    <w:rsid w:val="009008D6"/>
    <w:rsid w:val="00900A2E"/>
    <w:rsid w:val="00900B78"/>
    <w:rsid w:val="00900CC4"/>
    <w:rsid w:val="00900D87"/>
    <w:rsid w:val="009012A7"/>
    <w:rsid w:val="009023CA"/>
    <w:rsid w:val="00902DB3"/>
    <w:rsid w:val="00903A61"/>
    <w:rsid w:val="00903F56"/>
    <w:rsid w:val="00904A4A"/>
    <w:rsid w:val="00904ADB"/>
    <w:rsid w:val="00904C2A"/>
    <w:rsid w:val="00905638"/>
    <w:rsid w:val="009061C4"/>
    <w:rsid w:val="009062D3"/>
    <w:rsid w:val="00906610"/>
    <w:rsid w:val="00906800"/>
    <w:rsid w:val="00906A20"/>
    <w:rsid w:val="00906E09"/>
    <w:rsid w:val="00907262"/>
    <w:rsid w:val="009074A6"/>
    <w:rsid w:val="0090757A"/>
    <w:rsid w:val="00907A4A"/>
    <w:rsid w:val="009106C4"/>
    <w:rsid w:val="00910748"/>
    <w:rsid w:val="00910945"/>
    <w:rsid w:val="00910953"/>
    <w:rsid w:val="00910A0E"/>
    <w:rsid w:val="00911671"/>
    <w:rsid w:val="00912291"/>
    <w:rsid w:val="00912A0B"/>
    <w:rsid w:val="00912C6F"/>
    <w:rsid w:val="009134EC"/>
    <w:rsid w:val="00914669"/>
    <w:rsid w:val="00914B25"/>
    <w:rsid w:val="009150AC"/>
    <w:rsid w:val="00915EE9"/>
    <w:rsid w:val="009161E3"/>
    <w:rsid w:val="0091644E"/>
    <w:rsid w:val="00916A07"/>
    <w:rsid w:val="00916B17"/>
    <w:rsid w:val="009172FE"/>
    <w:rsid w:val="00917420"/>
    <w:rsid w:val="009175BC"/>
    <w:rsid w:val="00917924"/>
    <w:rsid w:val="00920464"/>
    <w:rsid w:val="009205C2"/>
    <w:rsid w:val="00920E4C"/>
    <w:rsid w:val="009211CC"/>
    <w:rsid w:val="00921C23"/>
    <w:rsid w:val="0092236D"/>
    <w:rsid w:val="0092297B"/>
    <w:rsid w:val="00922EC9"/>
    <w:rsid w:val="00923264"/>
    <w:rsid w:val="00923607"/>
    <w:rsid w:val="009239DC"/>
    <w:rsid w:val="00923EAB"/>
    <w:rsid w:val="009241B8"/>
    <w:rsid w:val="00924627"/>
    <w:rsid w:val="00924D12"/>
    <w:rsid w:val="00925287"/>
    <w:rsid w:val="00925792"/>
    <w:rsid w:val="0092590F"/>
    <w:rsid w:val="00925E27"/>
    <w:rsid w:val="0092698D"/>
    <w:rsid w:val="00926D5C"/>
    <w:rsid w:val="00926EF0"/>
    <w:rsid w:val="00927258"/>
    <w:rsid w:val="00927275"/>
    <w:rsid w:val="00927574"/>
    <w:rsid w:val="00927914"/>
    <w:rsid w:val="00930631"/>
    <w:rsid w:val="00930C14"/>
    <w:rsid w:val="00930FAB"/>
    <w:rsid w:val="00931131"/>
    <w:rsid w:val="00931726"/>
    <w:rsid w:val="00931BB4"/>
    <w:rsid w:val="00931C72"/>
    <w:rsid w:val="0093211A"/>
    <w:rsid w:val="00932AA3"/>
    <w:rsid w:val="00933E1D"/>
    <w:rsid w:val="00934434"/>
    <w:rsid w:val="00934879"/>
    <w:rsid w:val="00934C49"/>
    <w:rsid w:val="00934EA9"/>
    <w:rsid w:val="00934F15"/>
    <w:rsid w:val="0093602F"/>
    <w:rsid w:val="009363C1"/>
    <w:rsid w:val="00936C87"/>
    <w:rsid w:val="00937561"/>
    <w:rsid w:val="00937675"/>
    <w:rsid w:val="00937E69"/>
    <w:rsid w:val="00937FF7"/>
    <w:rsid w:val="0094028E"/>
    <w:rsid w:val="00941BA0"/>
    <w:rsid w:val="009420B1"/>
    <w:rsid w:val="0094462B"/>
    <w:rsid w:val="00944C4B"/>
    <w:rsid w:val="00944DDE"/>
    <w:rsid w:val="00944FF4"/>
    <w:rsid w:val="00945C27"/>
    <w:rsid w:val="00945E8A"/>
    <w:rsid w:val="009466E2"/>
    <w:rsid w:val="00946922"/>
    <w:rsid w:val="00946DB5"/>
    <w:rsid w:val="00950174"/>
    <w:rsid w:val="009506A4"/>
    <w:rsid w:val="0095129D"/>
    <w:rsid w:val="009528F1"/>
    <w:rsid w:val="00952AE6"/>
    <w:rsid w:val="009530FD"/>
    <w:rsid w:val="00953F46"/>
    <w:rsid w:val="0095499A"/>
    <w:rsid w:val="009557D3"/>
    <w:rsid w:val="00955BDF"/>
    <w:rsid w:val="009573E3"/>
    <w:rsid w:val="009576D0"/>
    <w:rsid w:val="00960019"/>
    <w:rsid w:val="009602F5"/>
    <w:rsid w:val="00960895"/>
    <w:rsid w:val="00961ACD"/>
    <w:rsid w:val="00961B64"/>
    <w:rsid w:val="009621AB"/>
    <w:rsid w:val="0096254D"/>
    <w:rsid w:val="00962921"/>
    <w:rsid w:val="00962A96"/>
    <w:rsid w:val="00963C03"/>
    <w:rsid w:val="00963D9D"/>
    <w:rsid w:val="00964129"/>
    <w:rsid w:val="009645CA"/>
    <w:rsid w:val="009647A8"/>
    <w:rsid w:val="009658FC"/>
    <w:rsid w:val="00966236"/>
    <w:rsid w:val="00966AC7"/>
    <w:rsid w:val="00966F3C"/>
    <w:rsid w:val="00966FAB"/>
    <w:rsid w:val="0096722B"/>
    <w:rsid w:val="0096740A"/>
    <w:rsid w:val="00967665"/>
    <w:rsid w:val="009676E2"/>
    <w:rsid w:val="0097078D"/>
    <w:rsid w:val="00971120"/>
    <w:rsid w:val="00971D76"/>
    <w:rsid w:val="0097236C"/>
    <w:rsid w:val="00972587"/>
    <w:rsid w:val="00972B48"/>
    <w:rsid w:val="00972C71"/>
    <w:rsid w:val="00973451"/>
    <w:rsid w:val="00973733"/>
    <w:rsid w:val="00973975"/>
    <w:rsid w:val="00973E8D"/>
    <w:rsid w:val="00974185"/>
    <w:rsid w:val="0097450E"/>
    <w:rsid w:val="0097458C"/>
    <w:rsid w:val="009745EF"/>
    <w:rsid w:val="0097562B"/>
    <w:rsid w:val="0097674B"/>
    <w:rsid w:val="00976B59"/>
    <w:rsid w:val="00976FA3"/>
    <w:rsid w:val="009775A6"/>
    <w:rsid w:val="009775C3"/>
    <w:rsid w:val="0097768B"/>
    <w:rsid w:val="00977862"/>
    <w:rsid w:val="00977ED0"/>
    <w:rsid w:val="00980A05"/>
    <w:rsid w:val="00980DA2"/>
    <w:rsid w:val="00980E5B"/>
    <w:rsid w:val="009817C8"/>
    <w:rsid w:val="00981C29"/>
    <w:rsid w:val="00981DC1"/>
    <w:rsid w:val="00982126"/>
    <w:rsid w:val="00982839"/>
    <w:rsid w:val="00982D3F"/>
    <w:rsid w:val="00982E32"/>
    <w:rsid w:val="00982EE5"/>
    <w:rsid w:val="00983268"/>
    <w:rsid w:val="009837C3"/>
    <w:rsid w:val="0098384E"/>
    <w:rsid w:val="00983A75"/>
    <w:rsid w:val="00983A95"/>
    <w:rsid w:val="00984317"/>
    <w:rsid w:val="009845C2"/>
    <w:rsid w:val="009845D1"/>
    <w:rsid w:val="009849E8"/>
    <w:rsid w:val="00984CD7"/>
    <w:rsid w:val="009856E2"/>
    <w:rsid w:val="00985A51"/>
    <w:rsid w:val="00985C32"/>
    <w:rsid w:val="00985C57"/>
    <w:rsid w:val="00985C82"/>
    <w:rsid w:val="00985E66"/>
    <w:rsid w:val="00986347"/>
    <w:rsid w:val="00986352"/>
    <w:rsid w:val="00986546"/>
    <w:rsid w:val="0098704C"/>
    <w:rsid w:val="009878D8"/>
    <w:rsid w:val="00987B42"/>
    <w:rsid w:val="00987CD0"/>
    <w:rsid w:val="00990C2A"/>
    <w:rsid w:val="0099167D"/>
    <w:rsid w:val="009916CA"/>
    <w:rsid w:val="00991E75"/>
    <w:rsid w:val="00991FAC"/>
    <w:rsid w:val="009920CF"/>
    <w:rsid w:val="00992325"/>
    <w:rsid w:val="0099248B"/>
    <w:rsid w:val="00992D8A"/>
    <w:rsid w:val="00992E09"/>
    <w:rsid w:val="00993C23"/>
    <w:rsid w:val="009940C3"/>
    <w:rsid w:val="00995013"/>
    <w:rsid w:val="009953A3"/>
    <w:rsid w:val="00996519"/>
    <w:rsid w:val="0099668F"/>
    <w:rsid w:val="00996D7D"/>
    <w:rsid w:val="00996F4B"/>
    <w:rsid w:val="00996F50"/>
    <w:rsid w:val="009977DF"/>
    <w:rsid w:val="00997EE3"/>
    <w:rsid w:val="00997FCB"/>
    <w:rsid w:val="009A1119"/>
    <w:rsid w:val="009A116F"/>
    <w:rsid w:val="009A12DE"/>
    <w:rsid w:val="009A136D"/>
    <w:rsid w:val="009A1608"/>
    <w:rsid w:val="009A2101"/>
    <w:rsid w:val="009A2815"/>
    <w:rsid w:val="009A28CF"/>
    <w:rsid w:val="009A3025"/>
    <w:rsid w:val="009A3CD9"/>
    <w:rsid w:val="009A419F"/>
    <w:rsid w:val="009A41F2"/>
    <w:rsid w:val="009A422A"/>
    <w:rsid w:val="009A4551"/>
    <w:rsid w:val="009A47C6"/>
    <w:rsid w:val="009A485D"/>
    <w:rsid w:val="009A5306"/>
    <w:rsid w:val="009A5CD9"/>
    <w:rsid w:val="009A6829"/>
    <w:rsid w:val="009A6C9D"/>
    <w:rsid w:val="009A76E1"/>
    <w:rsid w:val="009A7A56"/>
    <w:rsid w:val="009A7CD2"/>
    <w:rsid w:val="009A7D4B"/>
    <w:rsid w:val="009B01E4"/>
    <w:rsid w:val="009B083C"/>
    <w:rsid w:val="009B0AF3"/>
    <w:rsid w:val="009B13AE"/>
    <w:rsid w:val="009B1468"/>
    <w:rsid w:val="009B15F8"/>
    <w:rsid w:val="009B1CC5"/>
    <w:rsid w:val="009B21CD"/>
    <w:rsid w:val="009B229D"/>
    <w:rsid w:val="009B25B2"/>
    <w:rsid w:val="009B3CAD"/>
    <w:rsid w:val="009B40DE"/>
    <w:rsid w:val="009B4912"/>
    <w:rsid w:val="009B5404"/>
    <w:rsid w:val="009B58B4"/>
    <w:rsid w:val="009C0AFF"/>
    <w:rsid w:val="009C0B8E"/>
    <w:rsid w:val="009C0D9A"/>
    <w:rsid w:val="009C11DB"/>
    <w:rsid w:val="009C15E6"/>
    <w:rsid w:val="009C17F4"/>
    <w:rsid w:val="009C1E7A"/>
    <w:rsid w:val="009C1F10"/>
    <w:rsid w:val="009C27ED"/>
    <w:rsid w:val="009C2A89"/>
    <w:rsid w:val="009C44B5"/>
    <w:rsid w:val="009C4773"/>
    <w:rsid w:val="009C4ADD"/>
    <w:rsid w:val="009C4E8A"/>
    <w:rsid w:val="009C51C5"/>
    <w:rsid w:val="009C55C6"/>
    <w:rsid w:val="009C58C4"/>
    <w:rsid w:val="009C5D76"/>
    <w:rsid w:val="009C6126"/>
    <w:rsid w:val="009C6474"/>
    <w:rsid w:val="009C6A67"/>
    <w:rsid w:val="009C75B5"/>
    <w:rsid w:val="009C7A51"/>
    <w:rsid w:val="009C7B00"/>
    <w:rsid w:val="009D0020"/>
    <w:rsid w:val="009D010C"/>
    <w:rsid w:val="009D0AC3"/>
    <w:rsid w:val="009D0B1F"/>
    <w:rsid w:val="009D1486"/>
    <w:rsid w:val="009D14FB"/>
    <w:rsid w:val="009D169B"/>
    <w:rsid w:val="009D2463"/>
    <w:rsid w:val="009D2D96"/>
    <w:rsid w:val="009D2EB5"/>
    <w:rsid w:val="009D378B"/>
    <w:rsid w:val="009D38EC"/>
    <w:rsid w:val="009D3C73"/>
    <w:rsid w:val="009D4492"/>
    <w:rsid w:val="009D5224"/>
    <w:rsid w:val="009D5537"/>
    <w:rsid w:val="009D5AB2"/>
    <w:rsid w:val="009D6137"/>
    <w:rsid w:val="009D62A8"/>
    <w:rsid w:val="009D6311"/>
    <w:rsid w:val="009D65A5"/>
    <w:rsid w:val="009D6D8A"/>
    <w:rsid w:val="009D6F52"/>
    <w:rsid w:val="009D744A"/>
    <w:rsid w:val="009D7A02"/>
    <w:rsid w:val="009D7D29"/>
    <w:rsid w:val="009E0521"/>
    <w:rsid w:val="009E100D"/>
    <w:rsid w:val="009E1EC0"/>
    <w:rsid w:val="009E1F87"/>
    <w:rsid w:val="009E26D0"/>
    <w:rsid w:val="009E2D34"/>
    <w:rsid w:val="009E31E5"/>
    <w:rsid w:val="009E4158"/>
    <w:rsid w:val="009E41F7"/>
    <w:rsid w:val="009E5926"/>
    <w:rsid w:val="009E5ED1"/>
    <w:rsid w:val="009E61F4"/>
    <w:rsid w:val="009E6232"/>
    <w:rsid w:val="009E62ED"/>
    <w:rsid w:val="009E6427"/>
    <w:rsid w:val="009E6B4F"/>
    <w:rsid w:val="009E6E81"/>
    <w:rsid w:val="009E6EC3"/>
    <w:rsid w:val="009E73DF"/>
    <w:rsid w:val="009E74E3"/>
    <w:rsid w:val="009E7614"/>
    <w:rsid w:val="009F0176"/>
    <w:rsid w:val="009F034B"/>
    <w:rsid w:val="009F0987"/>
    <w:rsid w:val="009F0B69"/>
    <w:rsid w:val="009F0B84"/>
    <w:rsid w:val="009F0F30"/>
    <w:rsid w:val="009F1CF6"/>
    <w:rsid w:val="009F213B"/>
    <w:rsid w:val="009F21D8"/>
    <w:rsid w:val="009F21DE"/>
    <w:rsid w:val="009F3B06"/>
    <w:rsid w:val="009F3BCF"/>
    <w:rsid w:val="009F4677"/>
    <w:rsid w:val="009F49A4"/>
    <w:rsid w:val="009F598B"/>
    <w:rsid w:val="009F63BC"/>
    <w:rsid w:val="009F6619"/>
    <w:rsid w:val="009F6686"/>
    <w:rsid w:val="009F6E53"/>
    <w:rsid w:val="009F6F34"/>
    <w:rsid w:val="009F7226"/>
    <w:rsid w:val="009F7679"/>
    <w:rsid w:val="009F7A36"/>
    <w:rsid w:val="009F7CA8"/>
    <w:rsid w:val="00A015E8"/>
    <w:rsid w:val="00A01998"/>
    <w:rsid w:val="00A01A18"/>
    <w:rsid w:val="00A023AD"/>
    <w:rsid w:val="00A02CB5"/>
    <w:rsid w:val="00A02DB4"/>
    <w:rsid w:val="00A03082"/>
    <w:rsid w:val="00A03484"/>
    <w:rsid w:val="00A03807"/>
    <w:rsid w:val="00A043CB"/>
    <w:rsid w:val="00A04953"/>
    <w:rsid w:val="00A0564A"/>
    <w:rsid w:val="00A05C47"/>
    <w:rsid w:val="00A06D9F"/>
    <w:rsid w:val="00A07489"/>
    <w:rsid w:val="00A078F5"/>
    <w:rsid w:val="00A10B34"/>
    <w:rsid w:val="00A10C58"/>
    <w:rsid w:val="00A112B5"/>
    <w:rsid w:val="00A11929"/>
    <w:rsid w:val="00A11BF0"/>
    <w:rsid w:val="00A11ED8"/>
    <w:rsid w:val="00A11F9D"/>
    <w:rsid w:val="00A1221F"/>
    <w:rsid w:val="00A124CB"/>
    <w:rsid w:val="00A12E08"/>
    <w:rsid w:val="00A12E09"/>
    <w:rsid w:val="00A12F55"/>
    <w:rsid w:val="00A13079"/>
    <w:rsid w:val="00A13B97"/>
    <w:rsid w:val="00A14AA0"/>
    <w:rsid w:val="00A14E54"/>
    <w:rsid w:val="00A15568"/>
    <w:rsid w:val="00A1582F"/>
    <w:rsid w:val="00A15C03"/>
    <w:rsid w:val="00A16542"/>
    <w:rsid w:val="00A1685D"/>
    <w:rsid w:val="00A1692F"/>
    <w:rsid w:val="00A17154"/>
    <w:rsid w:val="00A176B0"/>
    <w:rsid w:val="00A17875"/>
    <w:rsid w:val="00A20805"/>
    <w:rsid w:val="00A20838"/>
    <w:rsid w:val="00A20872"/>
    <w:rsid w:val="00A20C8D"/>
    <w:rsid w:val="00A20F77"/>
    <w:rsid w:val="00A2141F"/>
    <w:rsid w:val="00A21C04"/>
    <w:rsid w:val="00A22594"/>
    <w:rsid w:val="00A2478B"/>
    <w:rsid w:val="00A249FB"/>
    <w:rsid w:val="00A24BCD"/>
    <w:rsid w:val="00A254E0"/>
    <w:rsid w:val="00A259FC"/>
    <w:rsid w:val="00A25CA3"/>
    <w:rsid w:val="00A2612D"/>
    <w:rsid w:val="00A26246"/>
    <w:rsid w:val="00A26EBC"/>
    <w:rsid w:val="00A304B7"/>
    <w:rsid w:val="00A3089B"/>
    <w:rsid w:val="00A30C50"/>
    <w:rsid w:val="00A30D11"/>
    <w:rsid w:val="00A30EF7"/>
    <w:rsid w:val="00A314F1"/>
    <w:rsid w:val="00A32A3A"/>
    <w:rsid w:val="00A32C6D"/>
    <w:rsid w:val="00A33C59"/>
    <w:rsid w:val="00A3409E"/>
    <w:rsid w:val="00A348F2"/>
    <w:rsid w:val="00A34AC3"/>
    <w:rsid w:val="00A35DB3"/>
    <w:rsid w:val="00A36208"/>
    <w:rsid w:val="00A36AE7"/>
    <w:rsid w:val="00A36E16"/>
    <w:rsid w:val="00A403E3"/>
    <w:rsid w:val="00A4056A"/>
    <w:rsid w:val="00A40D1F"/>
    <w:rsid w:val="00A41A9C"/>
    <w:rsid w:val="00A421AF"/>
    <w:rsid w:val="00A42A4F"/>
    <w:rsid w:val="00A43AEB"/>
    <w:rsid w:val="00A43D8D"/>
    <w:rsid w:val="00A44180"/>
    <w:rsid w:val="00A4446D"/>
    <w:rsid w:val="00A446F7"/>
    <w:rsid w:val="00A44BCF"/>
    <w:rsid w:val="00A453BA"/>
    <w:rsid w:val="00A45B44"/>
    <w:rsid w:val="00A461E7"/>
    <w:rsid w:val="00A46BCE"/>
    <w:rsid w:val="00A46BEF"/>
    <w:rsid w:val="00A47709"/>
    <w:rsid w:val="00A501C1"/>
    <w:rsid w:val="00A50DF6"/>
    <w:rsid w:val="00A51281"/>
    <w:rsid w:val="00A51A14"/>
    <w:rsid w:val="00A51A35"/>
    <w:rsid w:val="00A542C5"/>
    <w:rsid w:val="00A54923"/>
    <w:rsid w:val="00A5495F"/>
    <w:rsid w:val="00A54AA8"/>
    <w:rsid w:val="00A54D6C"/>
    <w:rsid w:val="00A54DC6"/>
    <w:rsid w:val="00A54E25"/>
    <w:rsid w:val="00A55229"/>
    <w:rsid w:val="00A55302"/>
    <w:rsid w:val="00A5534E"/>
    <w:rsid w:val="00A5583E"/>
    <w:rsid w:val="00A55A16"/>
    <w:rsid w:val="00A55B67"/>
    <w:rsid w:val="00A55E96"/>
    <w:rsid w:val="00A564FE"/>
    <w:rsid w:val="00A56694"/>
    <w:rsid w:val="00A566A0"/>
    <w:rsid w:val="00A56C1F"/>
    <w:rsid w:val="00A5717F"/>
    <w:rsid w:val="00A6015B"/>
    <w:rsid w:val="00A606DE"/>
    <w:rsid w:val="00A60961"/>
    <w:rsid w:val="00A60D92"/>
    <w:rsid w:val="00A60F15"/>
    <w:rsid w:val="00A60F4C"/>
    <w:rsid w:val="00A61A53"/>
    <w:rsid w:val="00A61BC2"/>
    <w:rsid w:val="00A61CDD"/>
    <w:rsid w:val="00A623CF"/>
    <w:rsid w:val="00A6276A"/>
    <w:rsid w:val="00A62EF4"/>
    <w:rsid w:val="00A63227"/>
    <w:rsid w:val="00A63742"/>
    <w:rsid w:val="00A63D4A"/>
    <w:rsid w:val="00A64E9E"/>
    <w:rsid w:val="00A65247"/>
    <w:rsid w:val="00A65290"/>
    <w:rsid w:val="00A6560B"/>
    <w:rsid w:val="00A658BC"/>
    <w:rsid w:val="00A66849"/>
    <w:rsid w:val="00A67097"/>
    <w:rsid w:val="00A6779E"/>
    <w:rsid w:val="00A67D1B"/>
    <w:rsid w:val="00A67F29"/>
    <w:rsid w:val="00A7077C"/>
    <w:rsid w:val="00A70A42"/>
    <w:rsid w:val="00A70AAD"/>
    <w:rsid w:val="00A70EDB"/>
    <w:rsid w:val="00A70F4F"/>
    <w:rsid w:val="00A70FC1"/>
    <w:rsid w:val="00A70FD0"/>
    <w:rsid w:val="00A71725"/>
    <w:rsid w:val="00A71AF8"/>
    <w:rsid w:val="00A71E3D"/>
    <w:rsid w:val="00A72456"/>
    <w:rsid w:val="00A726F4"/>
    <w:rsid w:val="00A72736"/>
    <w:rsid w:val="00A730E5"/>
    <w:rsid w:val="00A732F1"/>
    <w:rsid w:val="00A73FAD"/>
    <w:rsid w:val="00A74513"/>
    <w:rsid w:val="00A746D8"/>
    <w:rsid w:val="00A74AEE"/>
    <w:rsid w:val="00A74E00"/>
    <w:rsid w:val="00A7541B"/>
    <w:rsid w:val="00A75686"/>
    <w:rsid w:val="00A75B27"/>
    <w:rsid w:val="00A762CF"/>
    <w:rsid w:val="00A76C46"/>
    <w:rsid w:val="00A77DA2"/>
    <w:rsid w:val="00A77FCF"/>
    <w:rsid w:val="00A80023"/>
    <w:rsid w:val="00A804DF"/>
    <w:rsid w:val="00A80F9E"/>
    <w:rsid w:val="00A810B5"/>
    <w:rsid w:val="00A814D2"/>
    <w:rsid w:val="00A8157E"/>
    <w:rsid w:val="00A81669"/>
    <w:rsid w:val="00A819E3"/>
    <w:rsid w:val="00A825FC"/>
    <w:rsid w:val="00A82914"/>
    <w:rsid w:val="00A82AED"/>
    <w:rsid w:val="00A82E5C"/>
    <w:rsid w:val="00A8335F"/>
    <w:rsid w:val="00A835B5"/>
    <w:rsid w:val="00A8393E"/>
    <w:rsid w:val="00A8399C"/>
    <w:rsid w:val="00A84224"/>
    <w:rsid w:val="00A84346"/>
    <w:rsid w:val="00A8553F"/>
    <w:rsid w:val="00A85915"/>
    <w:rsid w:val="00A85DA0"/>
    <w:rsid w:val="00A86D64"/>
    <w:rsid w:val="00A875F0"/>
    <w:rsid w:val="00A87FF0"/>
    <w:rsid w:val="00A90DE6"/>
    <w:rsid w:val="00A9105B"/>
    <w:rsid w:val="00A91853"/>
    <w:rsid w:val="00A91A8F"/>
    <w:rsid w:val="00A92740"/>
    <w:rsid w:val="00A92768"/>
    <w:rsid w:val="00A92782"/>
    <w:rsid w:val="00A929FF"/>
    <w:rsid w:val="00A92A83"/>
    <w:rsid w:val="00A92AF2"/>
    <w:rsid w:val="00A93508"/>
    <w:rsid w:val="00A93CFE"/>
    <w:rsid w:val="00A941C7"/>
    <w:rsid w:val="00A94258"/>
    <w:rsid w:val="00A94AA5"/>
    <w:rsid w:val="00A95C69"/>
    <w:rsid w:val="00A95D64"/>
    <w:rsid w:val="00A96049"/>
    <w:rsid w:val="00A96573"/>
    <w:rsid w:val="00A96807"/>
    <w:rsid w:val="00A96ADE"/>
    <w:rsid w:val="00A96B37"/>
    <w:rsid w:val="00A9710F"/>
    <w:rsid w:val="00A9728F"/>
    <w:rsid w:val="00A97378"/>
    <w:rsid w:val="00A973A5"/>
    <w:rsid w:val="00A9756F"/>
    <w:rsid w:val="00AA04A4"/>
    <w:rsid w:val="00AA0D21"/>
    <w:rsid w:val="00AA0E06"/>
    <w:rsid w:val="00AA296C"/>
    <w:rsid w:val="00AA2AD0"/>
    <w:rsid w:val="00AA2F7C"/>
    <w:rsid w:val="00AA3A24"/>
    <w:rsid w:val="00AA3B91"/>
    <w:rsid w:val="00AA3D82"/>
    <w:rsid w:val="00AA4662"/>
    <w:rsid w:val="00AA485B"/>
    <w:rsid w:val="00AA48EC"/>
    <w:rsid w:val="00AA4A47"/>
    <w:rsid w:val="00AA4D18"/>
    <w:rsid w:val="00AA5DA2"/>
    <w:rsid w:val="00AA650B"/>
    <w:rsid w:val="00AA6B8D"/>
    <w:rsid w:val="00AA713D"/>
    <w:rsid w:val="00AA7D9E"/>
    <w:rsid w:val="00AA7FB3"/>
    <w:rsid w:val="00AB0539"/>
    <w:rsid w:val="00AB0680"/>
    <w:rsid w:val="00AB1B1C"/>
    <w:rsid w:val="00AB1E61"/>
    <w:rsid w:val="00AB2260"/>
    <w:rsid w:val="00AB2777"/>
    <w:rsid w:val="00AB287C"/>
    <w:rsid w:val="00AB3121"/>
    <w:rsid w:val="00AB37BD"/>
    <w:rsid w:val="00AB437F"/>
    <w:rsid w:val="00AB5789"/>
    <w:rsid w:val="00AB58D4"/>
    <w:rsid w:val="00AB5E37"/>
    <w:rsid w:val="00AB7B60"/>
    <w:rsid w:val="00AC049C"/>
    <w:rsid w:val="00AC06C4"/>
    <w:rsid w:val="00AC0CD9"/>
    <w:rsid w:val="00AC0F9E"/>
    <w:rsid w:val="00AC1507"/>
    <w:rsid w:val="00AC168F"/>
    <w:rsid w:val="00AC18F7"/>
    <w:rsid w:val="00AC1D87"/>
    <w:rsid w:val="00AC22CB"/>
    <w:rsid w:val="00AC237C"/>
    <w:rsid w:val="00AC27AE"/>
    <w:rsid w:val="00AC27E3"/>
    <w:rsid w:val="00AC29F9"/>
    <w:rsid w:val="00AC2F51"/>
    <w:rsid w:val="00AC2F83"/>
    <w:rsid w:val="00AC36CA"/>
    <w:rsid w:val="00AC45A5"/>
    <w:rsid w:val="00AC45D0"/>
    <w:rsid w:val="00AC461A"/>
    <w:rsid w:val="00AC49D6"/>
    <w:rsid w:val="00AC4DD2"/>
    <w:rsid w:val="00AC508A"/>
    <w:rsid w:val="00AC5182"/>
    <w:rsid w:val="00AC58EB"/>
    <w:rsid w:val="00AC5B38"/>
    <w:rsid w:val="00AC5CF0"/>
    <w:rsid w:val="00AC5E78"/>
    <w:rsid w:val="00AC6568"/>
    <w:rsid w:val="00AC6B1F"/>
    <w:rsid w:val="00AC6CE6"/>
    <w:rsid w:val="00AC78EC"/>
    <w:rsid w:val="00AC7945"/>
    <w:rsid w:val="00AC7FCC"/>
    <w:rsid w:val="00AD03AC"/>
    <w:rsid w:val="00AD07DD"/>
    <w:rsid w:val="00AD0AB3"/>
    <w:rsid w:val="00AD1153"/>
    <w:rsid w:val="00AD1BAF"/>
    <w:rsid w:val="00AD3149"/>
    <w:rsid w:val="00AD3739"/>
    <w:rsid w:val="00AD429C"/>
    <w:rsid w:val="00AD4EE9"/>
    <w:rsid w:val="00AD5024"/>
    <w:rsid w:val="00AD5F96"/>
    <w:rsid w:val="00AD621F"/>
    <w:rsid w:val="00AD6ABF"/>
    <w:rsid w:val="00AD71A4"/>
    <w:rsid w:val="00AD757F"/>
    <w:rsid w:val="00AD77BD"/>
    <w:rsid w:val="00AD7FBD"/>
    <w:rsid w:val="00AE0A2B"/>
    <w:rsid w:val="00AE0B63"/>
    <w:rsid w:val="00AE0BB5"/>
    <w:rsid w:val="00AE1241"/>
    <w:rsid w:val="00AE1390"/>
    <w:rsid w:val="00AE1539"/>
    <w:rsid w:val="00AE25F8"/>
    <w:rsid w:val="00AE278B"/>
    <w:rsid w:val="00AE2D92"/>
    <w:rsid w:val="00AE34A8"/>
    <w:rsid w:val="00AE356F"/>
    <w:rsid w:val="00AE3AEF"/>
    <w:rsid w:val="00AE3EDC"/>
    <w:rsid w:val="00AE3F6D"/>
    <w:rsid w:val="00AE469D"/>
    <w:rsid w:val="00AE46B2"/>
    <w:rsid w:val="00AE4B5B"/>
    <w:rsid w:val="00AE5469"/>
    <w:rsid w:val="00AE5734"/>
    <w:rsid w:val="00AE59D1"/>
    <w:rsid w:val="00AE5BC9"/>
    <w:rsid w:val="00AE64AD"/>
    <w:rsid w:val="00AE6C00"/>
    <w:rsid w:val="00AE6C0A"/>
    <w:rsid w:val="00AE7CD5"/>
    <w:rsid w:val="00AE7D5E"/>
    <w:rsid w:val="00AE7F73"/>
    <w:rsid w:val="00AF00BA"/>
    <w:rsid w:val="00AF0303"/>
    <w:rsid w:val="00AF038A"/>
    <w:rsid w:val="00AF064A"/>
    <w:rsid w:val="00AF11EB"/>
    <w:rsid w:val="00AF12F3"/>
    <w:rsid w:val="00AF19B3"/>
    <w:rsid w:val="00AF1B32"/>
    <w:rsid w:val="00AF21E3"/>
    <w:rsid w:val="00AF2378"/>
    <w:rsid w:val="00AF28F9"/>
    <w:rsid w:val="00AF308E"/>
    <w:rsid w:val="00AF4EE9"/>
    <w:rsid w:val="00AF4F1E"/>
    <w:rsid w:val="00AF4F65"/>
    <w:rsid w:val="00AF53FC"/>
    <w:rsid w:val="00AF5AC8"/>
    <w:rsid w:val="00AF5E10"/>
    <w:rsid w:val="00AF5FE6"/>
    <w:rsid w:val="00AF67F8"/>
    <w:rsid w:val="00AF6924"/>
    <w:rsid w:val="00AF6BAD"/>
    <w:rsid w:val="00AF721C"/>
    <w:rsid w:val="00AF7372"/>
    <w:rsid w:val="00AF7A6D"/>
    <w:rsid w:val="00AF7C64"/>
    <w:rsid w:val="00B00BCB"/>
    <w:rsid w:val="00B012D1"/>
    <w:rsid w:val="00B01704"/>
    <w:rsid w:val="00B01C6C"/>
    <w:rsid w:val="00B0214A"/>
    <w:rsid w:val="00B02283"/>
    <w:rsid w:val="00B025EA"/>
    <w:rsid w:val="00B027C1"/>
    <w:rsid w:val="00B032C7"/>
    <w:rsid w:val="00B03C0A"/>
    <w:rsid w:val="00B03D99"/>
    <w:rsid w:val="00B0402E"/>
    <w:rsid w:val="00B043A4"/>
    <w:rsid w:val="00B04F8D"/>
    <w:rsid w:val="00B05DF5"/>
    <w:rsid w:val="00B0647D"/>
    <w:rsid w:val="00B06888"/>
    <w:rsid w:val="00B079CB"/>
    <w:rsid w:val="00B07AA3"/>
    <w:rsid w:val="00B07C4A"/>
    <w:rsid w:val="00B07F3B"/>
    <w:rsid w:val="00B11062"/>
    <w:rsid w:val="00B11114"/>
    <w:rsid w:val="00B11C64"/>
    <w:rsid w:val="00B1218F"/>
    <w:rsid w:val="00B1222A"/>
    <w:rsid w:val="00B12702"/>
    <w:rsid w:val="00B1327F"/>
    <w:rsid w:val="00B139B9"/>
    <w:rsid w:val="00B13FA9"/>
    <w:rsid w:val="00B14C60"/>
    <w:rsid w:val="00B14E59"/>
    <w:rsid w:val="00B152D7"/>
    <w:rsid w:val="00B1533B"/>
    <w:rsid w:val="00B15540"/>
    <w:rsid w:val="00B162EA"/>
    <w:rsid w:val="00B164A7"/>
    <w:rsid w:val="00B16C6F"/>
    <w:rsid w:val="00B1749C"/>
    <w:rsid w:val="00B17675"/>
    <w:rsid w:val="00B20600"/>
    <w:rsid w:val="00B20B3C"/>
    <w:rsid w:val="00B21E13"/>
    <w:rsid w:val="00B21ED2"/>
    <w:rsid w:val="00B22A53"/>
    <w:rsid w:val="00B23074"/>
    <w:rsid w:val="00B23722"/>
    <w:rsid w:val="00B237CE"/>
    <w:rsid w:val="00B2392F"/>
    <w:rsid w:val="00B251A3"/>
    <w:rsid w:val="00B2659E"/>
    <w:rsid w:val="00B26B36"/>
    <w:rsid w:val="00B26CF8"/>
    <w:rsid w:val="00B26DDE"/>
    <w:rsid w:val="00B275B7"/>
    <w:rsid w:val="00B275E4"/>
    <w:rsid w:val="00B2788A"/>
    <w:rsid w:val="00B27AF6"/>
    <w:rsid w:val="00B3075D"/>
    <w:rsid w:val="00B307C0"/>
    <w:rsid w:val="00B309C8"/>
    <w:rsid w:val="00B30DEF"/>
    <w:rsid w:val="00B31084"/>
    <w:rsid w:val="00B32D19"/>
    <w:rsid w:val="00B33151"/>
    <w:rsid w:val="00B335B3"/>
    <w:rsid w:val="00B33D86"/>
    <w:rsid w:val="00B33F10"/>
    <w:rsid w:val="00B34077"/>
    <w:rsid w:val="00B341BD"/>
    <w:rsid w:val="00B34A9A"/>
    <w:rsid w:val="00B34AA1"/>
    <w:rsid w:val="00B358D3"/>
    <w:rsid w:val="00B36D1C"/>
    <w:rsid w:val="00B37740"/>
    <w:rsid w:val="00B379FE"/>
    <w:rsid w:val="00B40089"/>
    <w:rsid w:val="00B40357"/>
    <w:rsid w:val="00B406F6"/>
    <w:rsid w:val="00B42018"/>
    <w:rsid w:val="00B420D6"/>
    <w:rsid w:val="00B42861"/>
    <w:rsid w:val="00B42DE8"/>
    <w:rsid w:val="00B43882"/>
    <w:rsid w:val="00B4395C"/>
    <w:rsid w:val="00B4411D"/>
    <w:rsid w:val="00B4460A"/>
    <w:rsid w:val="00B447F8"/>
    <w:rsid w:val="00B44B3D"/>
    <w:rsid w:val="00B45099"/>
    <w:rsid w:val="00B46254"/>
    <w:rsid w:val="00B4641A"/>
    <w:rsid w:val="00B46541"/>
    <w:rsid w:val="00B46C28"/>
    <w:rsid w:val="00B46C81"/>
    <w:rsid w:val="00B47191"/>
    <w:rsid w:val="00B47427"/>
    <w:rsid w:val="00B47B37"/>
    <w:rsid w:val="00B501CD"/>
    <w:rsid w:val="00B50A06"/>
    <w:rsid w:val="00B50F4E"/>
    <w:rsid w:val="00B51D5A"/>
    <w:rsid w:val="00B52041"/>
    <w:rsid w:val="00B52450"/>
    <w:rsid w:val="00B5245A"/>
    <w:rsid w:val="00B52934"/>
    <w:rsid w:val="00B537CB"/>
    <w:rsid w:val="00B537FD"/>
    <w:rsid w:val="00B53853"/>
    <w:rsid w:val="00B53BFE"/>
    <w:rsid w:val="00B5400F"/>
    <w:rsid w:val="00B54BD6"/>
    <w:rsid w:val="00B54C1A"/>
    <w:rsid w:val="00B54E0A"/>
    <w:rsid w:val="00B55B0D"/>
    <w:rsid w:val="00B56627"/>
    <w:rsid w:val="00B5663F"/>
    <w:rsid w:val="00B56DF2"/>
    <w:rsid w:val="00B57C38"/>
    <w:rsid w:val="00B61477"/>
    <w:rsid w:val="00B61B02"/>
    <w:rsid w:val="00B61E2B"/>
    <w:rsid w:val="00B62027"/>
    <w:rsid w:val="00B62201"/>
    <w:rsid w:val="00B6223C"/>
    <w:rsid w:val="00B62B43"/>
    <w:rsid w:val="00B62DE0"/>
    <w:rsid w:val="00B63111"/>
    <w:rsid w:val="00B63191"/>
    <w:rsid w:val="00B636B5"/>
    <w:rsid w:val="00B63D31"/>
    <w:rsid w:val="00B6407F"/>
    <w:rsid w:val="00B64FAD"/>
    <w:rsid w:val="00B650A9"/>
    <w:rsid w:val="00B65C2C"/>
    <w:rsid w:val="00B662C2"/>
    <w:rsid w:val="00B66A29"/>
    <w:rsid w:val="00B66CE4"/>
    <w:rsid w:val="00B67489"/>
    <w:rsid w:val="00B67584"/>
    <w:rsid w:val="00B67C40"/>
    <w:rsid w:val="00B70110"/>
    <w:rsid w:val="00B70368"/>
    <w:rsid w:val="00B7057B"/>
    <w:rsid w:val="00B718A9"/>
    <w:rsid w:val="00B72844"/>
    <w:rsid w:val="00B72BE0"/>
    <w:rsid w:val="00B72E60"/>
    <w:rsid w:val="00B730EC"/>
    <w:rsid w:val="00B733A0"/>
    <w:rsid w:val="00B735D2"/>
    <w:rsid w:val="00B739CC"/>
    <w:rsid w:val="00B73B52"/>
    <w:rsid w:val="00B7427F"/>
    <w:rsid w:val="00B750EC"/>
    <w:rsid w:val="00B751AB"/>
    <w:rsid w:val="00B751EB"/>
    <w:rsid w:val="00B75342"/>
    <w:rsid w:val="00B7549F"/>
    <w:rsid w:val="00B757D3"/>
    <w:rsid w:val="00B757E4"/>
    <w:rsid w:val="00B759BE"/>
    <w:rsid w:val="00B769DD"/>
    <w:rsid w:val="00B76D18"/>
    <w:rsid w:val="00B77260"/>
    <w:rsid w:val="00B7737A"/>
    <w:rsid w:val="00B77A90"/>
    <w:rsid w:val="00B80431"/>
    <w:rsid w:val="00B8059C"/>
    <w:rsid w:val="00B8078D"/>
    <w:rsid w:val="00B80C02"/>
    <w:rsid w:val="00B82482"/>
    <w:rsid w:val="00B84191"/>
    <w:rsid w:val="00B847D5"/>
    <w:rsid w:val="00B84F92"/>
    <w:rsid w:val="00B850A4"/>
    <w:rsid w:val="00B850DA"/>
    <w:rsid w:val="00B8579E"/>
    <w:rsid w:val="00B858B7"/>
    <w:rsid w:val="00B864D6"/>
    <w:rsid w:val="00B86A78"/>
    <w:rsid w:val="00B86CD7"/>
    <w:rsid w:val="00B87F99"/>
    <w:rsid w:val="00B90D8F"/>
    <w:rsid w:val="00B90E5B"/>
    <w:rsid w:val="00B913C0"/>
    <w:rsid w:val="00B915A1"/>
    <w:rsid w:val="00B9175F"/>
    <w:rsid w:val="00B917FB"/>
    <w:rsid w:val="00B9225F"/>
    <w:rsid w:val="00B923C4"/>
    <w:rsid w:val="00B923EE"/>
    <w:rsid w:val="00B92AEF"/>
    <w:rsid w:val="00B9343A"/>
    <w:rsid w:val="00B93752"/>
    <w:rsid w:val="00B939B9"/>
    <w:rsid w:val="00B93EB1"/>
    <w:rsid w:val="00B944AC"/>
    <w:rsid w:val="00B944C7"/>
    <w:rsid w:val="00B94AC4"/>
    <w:rsid w:val="00B9579B"/>
    <w:rsid w:val="00B95A0D"/>
    <w:rsid w:val="00BA0672"/>
    <w:rsid w:val="00BA0F8B"/>
    <w:rsid w:val="00BA0F98"/>
    <w:rsid w:val="00BA1053"/>
    <w:rsid w:val="00BA110A"/>
    <w:rsid w:val="00BA11E5"/>
    <w:rsid w:val="00BA248B"/>
    <w:rsid w:val="00BA2FFE"/>
    <w:rsid w:val="00BA33F1"/>
    <w:rsid w:val="00BA4091"/>
    <w:rsid w:val="00BA421F"/>
    <w:rsid w:val="00BA4AFA"/>
    <w:rsid w:val="00BA5283"/>
    <w:rsid w:val="00BA52A4"/>
    <w:rsid w:val="00BA68E7"/>
    <w:rsid w:val="00BA6B81"/>
    <w:rsid w:val="00BA6D39"/>
    <w:rsid w:val="00BA6F47"/>
    <w:rsid w:val="00BA7DCD"/>
    <w:rsid w:val="00BA7E7B"/>
    <w:rsid w:val="00BAD3E4"/>
    <w:rsid w:val="00BB0A2D"/>
    <w:rsid w:val="00BB1310"/>
    <w:rsid w:val="00BB226F"/>
    <w:rsid w:val="00BB247F"/>
    <w:rsid w:val="00BB29B3"/>
    <w:rsid w:val="00BB2FA5"/>
    <w:rsid w:val="00BB321F"/>
    <w:rsid w:val="00BB32F2"/>
    <w:rsid w:val="00BB341E"/>
    <w:rsid w:val="00BB34FC"/>
    <w:rsid w:val="00BB3C39"/>
    <w:rsid w:val="00BB4DA8"/>
    <w:rsid w:val="00BB5490"/>
    <w:rsid w:val="00BB5C35"/>
    <w:rsid w:val="00BB5FED"/>
    <w:rsid w:val="00BB6371"/>
    <w:rsid w:val="00BB6BD6"/>
    <w:rsid w:val="00BB77E0"/>
    <w:rsid w:val="00BB784A"/>
    <w:rsid w:val="00BC0857"/>
    <w:rsid w:val="00BC1979"/>
    <w:rsid w:val="00BC22FF"/>
    <w:rsid w:val="00BC2941"/>
    <w:rsid w:val="00BC299D"/>
    <w:rsid w:val="00BC3986"/>
    <w:rsid w:val="00BC3F2F"/>
    <w:rsid w:val="00BC3F86"/>
    <w:rsid w:val="00BC4100"/>
    <w:rsid w:val="00BC4888"/>
    <w:rsid w:val="00BC4CCD"/>
    <w:rsid w:val="00BC545C"/>
    <w:rsid w:val="00BC59F1"/>
    <w:rsid w:val="00BC5DA4"/>
    <w:rsid w:val="00BC6371"/>
    <w:rsid w:val="00BC7B63"/>
    <w:rsid w:val="00BC7D3A"/>
    <w:rsid w:val="00BD0119"/>
    <w:rsid w:val="00BD052C"/>
    <w:rsid w:val="00BD141E"/>
    <w:rsid w:val="00BD228A"/>
    <w:rsid w:val="00BD303F"/>
    <w:rsid w:val="00BD3251"/>
    <w:rsid w:val="00BD351A"/>
    <w:rsid w:val="00BD3842"/>
    <w:rsid w:val="00BD3A2E"/>
    <w:rsid w:val="00BD3FFC"/>
    <w:rsid w:val="00BD4457"/>
    <w:rsid w:val="00BD4460"/>
    <w:rsid w:val="00BD5376"/>
    <w:rsid w:val="00BD5C64"/>
    <w:rsid w:val="00BD5CB6"/>
    <w:rsid w:val="00BD69BA"/>
    <w:rsid w:val="00BD6E4F"/>
    <w:rsid w:val="00BD6F6D"/>
    <w:rsid w:val="00BD7881"/>
    <w:rsid w:val="00BD7BCE"/>
    <w:rsid w:val="00BDD6E3"/>
    <w:rsid w:val="00BE00C5"/>
    <w:rsid w:val="00BE03C3"/>
    <w:rsid w:val="00BE0859"/>
    <w:rsid w:val="00BE17C0"/>
    <w:rsid w:val="00BE2502"/>
    <w:rsid w:val="00BE2A3D"/>
    <w:rsid w:val="00BE3376"/>
    <w:rsid w:val="00BE3A25"/>
    <w:rsid w:val="00BE3ABE"/>
    <w:rsid w:val="00BE42DE"/>
    <w:rsid w:val="00BE4615"/>
    <w:rsid w:val="00BE4985"/>
    <w:rsid w:val="00BE49B4"/>
    <w:rsid w:val="00BE5753"/>
    <w:rsid w:val="00BE6108"/>
    <w:rsid w:val="00BE6394"/>
    <w:rsid w:val="00BE66A0"/>
    <w:rsid w:val="00BE7556"/>
    <w:rsid w:val="00BE7A92"/>
    <w:rsid w:val="00BE7D8A"/>
    <w:rsid w:val="00BE7F83"/>
    <w:rsid w:val="00BF1806"/>
    <w:rsid w:val="00BF27C3"/>
    <w:rsid w:val="00BF35FA"/>
    <w:rsid w:val="00BF36B9"/>
    <w:rsid w:val="00BF36DF"/>
    <w:rsid w:val="00BF417D"/>
    <w:rsid w:val="00BF4776"/>
    <w:rsid w:val="00BF51ED"/>
    <w:rsid w:val="00BF59CA"/>
    <w:rsid w:val="00BF5ABF"/>
    <w:rsid w:val="00BF5F20"/>
    <w:rsid w:val="00BF601E"/>
    <w:rsid w:val="00BF68E9"/>
    <w:rsid w:val="00BF6B24"/>
    <w:rsid w:val="00BF7576"/>
    <w:rsid w:val="00BF7E52"/>
    <w:rsid w:val="00C000B2"/>
    <w:rsid w:val="00C00278"/>
    <w:rsid w:val="00C0064C"/>
    <w:rsid w:val="00C006D9"/>
    <w:rsid w:val="00C0070F"/>
    <w:rsid w:val="00C00F0F"/>
    <w:rsid w:val="00C01BBA"/>
    <w:rsid w:val="00C0276C"/>
    <w:rsid w:val="00C02AA3"/>
    <w:rsid w:val="00C030B9"/>
    <w:rsid w:val="00C033AC"/>
    <w:rsid w:val="00C03415"/>
    <w:rsid w:val="00C03D39"/>
    <w:rsid w:val="00C04BDA"/>
    <w:rsid w:val="00C05212"/>
    <w:rsid w:val="00C05632"/>
    <w:rsid w:val="00C05BFE"/>
    <w:rsid w:val="00C07131"/>
    <w:rsid w:val="00C07CBF"/>
    <w:rsid w:val="00C10DD2"/>
    <w:rsid w:val="00C11633"/>
    <w:rsid w:val="00C11763"/>
    <w:rsid w:val="00C1210B"/>
    <w:rsid w:val="00C124C7"/>
    <w:rsid w:val="00C1276D"/>
    <w:rsid w:val="00C12A7A"/>
    <w:rsid w:val="00C1304B"/>
    <w:rsid w:val="00C132F3"/>
    <w:rsid w:val="00C132FD"/>
    <w:rsid w:val="00C13C35"/>
    <w:rsid w:val="00C1489A"/>
    <w:rsid w:val="00C14983"/>
    <w:rsid w:val="00C15189"/>
    <w:rsid w:val="00C15319"/>
    <w:rsid w:val="00C154A8"/>
    <w:rsid w:val="00C1613C"/>
    <w:rsid w:val="00C164EA"/>
    <w:rsid w:val="00C168A1"/>
    <w:rsid w:val="00C1699A"/>
    <w:rsid w:val="00C16E26"/>
    <w:rsid w:val="00C17170"/>
    <w:rsid w:val="00C17190"/>
    <w:rsid w:val="00C1719C"/>
    <w:rsid w:val="00C175BB"/>
    <w:rsid w:val="00C17765"/>
    <w:rsid w:val="00C20121"/>
    <w:rsid w:val="00C2060D"/>
    <w:rsid w:val="00C2063D"/>
    <w:rsid w:val="00C20F32"/>
    <w:rsid w:val="00C21555"/>
    <w:rsid w:val="00C21C1B"/>
    <w:rsid w:val="00C222AC"/>
    <w:rsid w:val="00C2230B"/>
    <w:rsid w:val="00C22D67"/>
    <w:rsid w:val="00C2402D"/>
    <w:rsid w:val="00C247EC"/>
    <w:rsid w:val="00C25A02"/>
    <w:rsid w:val="00C26AA6"/>
    <w:rsid w:val="00C27128"/>
    <w:rsid w:val="00C277EC"/>
    <w:rsid w:val="00C30CE7"/>
    <w:rsid w:val="00C3103A"/>
    <w:rsid w:val="00C31B0B"/>
    <w:rsid w:val="00C31D48"/>
    <w:rsid w:val="00C326F0"/>
    <w:rsid w:val="00C32E80"/>
    <w:rsid w:val="00C33306"/>
    <w:rsid w:val="00C333B5"/>
    <w:rsid w:val="00C33FB1"/>
    <w:rsid w:val="00C341A7"/>
    <w:rsid w:val="00C349F4"/>
    <w:rsid w:val="00C35005"/>
    <w:rsid w:val="00C35B03"/>
    <w:rsid w:val="00C3649A"/>
    <w:rsid w:val="00C36A16"/>
    <w:rsid w:val="00C37976"/>
    <w:rsid w:val="00C403AD"/>
    <w:rsid w:val="00C403BB"/>
    <w:rsid w:val="00C40D90"/>
    <w:rsid w:val="00C40F28"/>
    <w:rsid w:val="00C40F59"/>
    <w:rsid w:val="00C41C9F"/>
    <w:rsid w:val="00C42843"/>
    <w:rsid w:val="00C42A8F"/>
    <w:rsid w:val="00C43148"/>
    <w:rsid w:val="00C43158"/>
    <w:rsid w:val="00C437D6"/>
    <w:rsid w:val="00C43B33"/>
    <w:rsid w:val="00C43CEC"/>
    <w:rsid w:val="00C44136"/>
    <w:rsid w:val="00C44A86"/>
    <w:rsid w:val="00C46846"/>
    <w:rsid w:val="00C4778E"/>
    <w:rsid w:val="00C47AEA"/>
    <w:rsid w:val="00C47E81"/>
    <w:rsid w:val="00C5025F"/>
    <w:rsid w:val="00C502D8"/>
    <w:rsid w:val="00C5071D"/>
    <w:rsid w:val="00C50C4A"/>
    <w:rsid w:val="00C5143D"/>
    <w:rsid w:val="00C514EF"/>
    <w:rsid w:val="00C515D7"/>
    <w:rsid w:val="00C51AF7"/>
    <w:rsid w:val="00C5224C"/>
    <w:rsid w:val="00C5344F"/>
    <w:rsid w:val="00C53B6C"/>
    <w:rsid w:val="00C53D6A"/>
    <w:rsid w:val="00C5410B"/>
    <w:rsid w:val="00C54243"/>
    <w:rsid w:val="00C542EB"/>
    <w:rsid w:val="00C555DC"/>
    <w:rsid w:val="00C5581F"/>
    <w:rsid w:val="00C55C8F"/>
    <w:rsid w:val="00C56D44"/>
    <w:rsid w:val="00C57387"/>
    <w:rsid w:val="00C575FC"/>
    <w:rsid w:val="00C5786D"/>
    <w:rsid w:val="00C57D9F"/>
    <w:rsid w:val="00C60E4B"/>
    <w:rsid w:val="00C60E99"/>
    <w:rsid w:val="00C6115C"/>
    <w:rsid w:val="00C63F82"/>
    <w:rsid w:val="00C6493E"/>
    <w:rsid w:val="00C64B4F"/>
    <w:rsid w:val="00C657C0"/>
    <w:rsid w:val="00C65A7D"/>
    <w:rsid w:val="00C66686"/>
    <w:rsid w:val="00C66D5A"/>
    <w:rsid w:val="00C67010"/>
    <w:rsid w:val="00C670CB"/>
    <w:rsid w:val="00C67AE3"/>
    <w:rsid w:val="00C707FE"/>
    <w:rsid w:val="00C70991"/>
    <w:rsid w:val="00C70F53"/>
    <w:rsid w:val="00C72D5C"/>
    <w:rsid w:val="00C72F80"/>
    <w:rsid w:val="00C73410"/>
    <w:rsid w:val="00C73A5A"/>
    <w:rsid w:val="00C73ADB"/>
    <w:rsid w:val="00C73E66"/>
    <w:rsid w:val="00C74151"/>
    <w:rsid w:val="00C74670"/>
    <w:rsid w:val="00C7495F"/>
    <w:rsid w:val="00C74B5B"/>
    <w:rsid w:val="00C74E21"/>
    <w:rsid w:val="00C754E0"/>
    <w:rsid w:val="00C75B3A"/>
    <w:rsid w:val="00C75B55"/>
    <w:rsid w:val="00C7601F"/>
    <w:rsid w:val="00C76626"/>
    <w:rsid w:val="00C7700B"/>
    <w:rsid w:val="00C775B6"/>
    <w:rsid w:val="00C776BC"/>
    <w:rsid w:val="00C77975"/>
    <w:rsid w:val="00C77A55"/>
    <w:rsid w:val="00C80177"/>
    <w:rsid w:val="00C80CEE"/>
    <w:rsid w:val="00C81060"/>
    <w:rsid w:val="00C812A5"/>
    <w:rsid w:val="00C816D9"/>
    <w:rsid w:val="00C81A11"/>
    <w:rsid w:val="00C81AA4"/>
    <w:rsid w:val="00C82AF9"/>
    <w:rsid w:val="00C82B57"/>
    <w:rsid w:val="00C82C7A"/>
    <w:rsid w:val="00C82C94"/>
    <w:rsid w:val="00C83028"/>
    <w:rsid w:val="00C837C3"/>
    <w:rsid w:val="00C83BA5"/>
    <w:rsid w:val="00C848B7"/>
    <w:rsid w:val="00C84CA8"/>
    <w:rsid w:val="00C85E38"/>
    <w:rsid w:val="00C86417"/>
    <w:rsid w:val="00C8786B"/>
    <w:rsid w:val="00C90303"/>
    <w:rsid w:val="00C906B9"/>
    <w:rsid w:val="00C90A68"/>
    <w:rsid w:val="00C91071"/>
    <w:rsid w:val="00C9160F"/>
    <w:rsid w:val="00C9180E"/>
    <w:rsid w:val="00C91824"/>
    <w:rsid w:val="00C918EB"/>
    <w:rsid w:val="00C91C5C"/>
    <w:rsid w:val="00C92254"/>
    <w:rsid w:val="00C924D9"/>
    <w:rsid w:val="00C9253F"/>
    <w:rsid w:val="00C9299C"/>
    <w:rsid w:val="00C93192"/>
    <w:rsid w:val="00C9319C"/>
    <w:rsid w:val="00C934C0"/>
    <w:rsid w:val="00C93E14"/>
    <w:rsid w:val="00C94205"/>
    <w:rsid w:val="00C959E9"/>
    <w:rsid w:val="00C95FE2"/>
    <w:rsid w:val="00C96005"/>
    <w:rsid w:val="00C977D5"/>
    <w:rsid w:val="00C97891"/>
    <w:rsid w:val="00C978BC"/>
    <w:rsid w:val="00C97C86"/>
    <w:rsid w:val="00C97C9E"/>
    <w:rsid w:val="00CA0037"/>
    <w:rsid w:val="00CA04F9"/>
    <w:rsid w:val="00CA0C9B"/>
    <w:rsid w:val="00CA1E38"/>
    <w:rsid w:val="00CA1FB7"/>
    <w:rsid w:val="00CA2358"/>
    <w:rsid w:val="00CA288C"/>
    <w:rsid w:val="00CA2AE2"/>
    <w:rsid w:val="00CA31B8"/>
    <w:rsid w:val="00CA336B"/>
    <w:rsid w:val="00CA41A8"/>
    <w:rsid w:val="00CA4AC3"/>
    <w:rsid w:val="00CA4E60"/>
    <w:rsid w:val="00CA63DB"/>
    <w:rsid w:val="00CA646E"/>
    <w:rsid w:val="00CA6564"/>
    <w:rsid w:val="00CA6B00"/>
    <w:rsid w:val="00CA6EFC"/>
    <w:rsid w:val="00CA7913"/>
    <w:rsid w:val="00CA7A75"/>
    <w:rsid w:val="00CA7F06"/>
    <w:rsid w:val="00CB080E"/>
    <w:rsid w:val="00CB0FF1"/>
    <w:rsid w:val="00CB1497"/>
    <w:rsid w:val="00CB19AC"/>
    <w:rsid w:val="00CB2B7E"/>
    <w:rsid w:val="00CB2C14"/>
    <w:rsid w:val="00CB3051"/>
    <w:rsid w:val="00CB3DDB"/>
    <w:rsid w:val="00CB3E70"/>
    <w:rsid w:val="00CB3EAD"/>
    <w:rsid w:val="00CB4A5B"/>
    <w:rsid w:val="00CB4B18"/>
    <w:rsid w:val="00CB557B"/>
    <w:rsid w:val="00CB55E0"/>
    <w:rsid w:val="00CB5C2F"/>
    <w:rsid w:val="00CB60AC"/>
    <w:rsid w:val="00CB63B4"/>
    <w:rsid w:val="00CB642A"/>
    <w:rsid w:val="00CB6913"/>
    <w:rsid w:val="00CB6DD9"/>
    <w:rsid w:val="00CC040F"/>
    <w:rsid w:val="00CC051B"/>
    <w:rsid w:val="00CC093A"/>
    <w:rsid w:val="00CC0CAF"/>
    <w:rsid w:val="00CC19C3"/>
    <w:rsid w:val="00CC1E57"/>
    <w:rsid w:val="00CC2E7A"/>
    <w:rsid w:val="00CC32B7"/>
    <w:rsid w:val="00CC3364"/>
    <w:rsid w:val="00CC4A95"/>
    <w:rsid w:val="00CC4B15"/>
    <w:rsid w:val="00CC5353"/>
    <w:rsid w:val="00CC5842"/>
    <w:rsid w:val="00CC586A"/>
    <w:rsid w:val="00CC59C4"/>
    <w:rsid w:val="00CC61B5"/>
    <w:rsid w:val="00CC61C5"/>
    <w:rsid w:val="00CC6796"/>
    <w:rsid w:val="00CC6B0D"/>
    <w:rsid w:val="00CC6E0A"/>
    <w:rsid w:val="00CC71E7"/>
    <w:rsid w:val="00CD04EC"/>
    <w:rsid w:val="00CD1EEE"/>
    <w:rsid w:val="00CD284E"/>
    <w:rsid w:val="00CD2B7C"/>
    <w:rsid w:val="00CD3389"/>
    <w:rsid w:val="00CD3A29"/>
    <w:rsid w:val="00CD3EBA"/>
    <w:rsid w:val="00CD4146"/>
    <w:rsid w:val="00CD42F1"/>
    <w:rsid w:val="00CD4325"/>
    <w:rsid w:val="00CD46C4"/>
    <w:rsid w:val="00CD4B3C"/>
    <w:rsid w:val="00CD54B7"/>
    <w:rsid w:val="00CD556B"/>
    <w:rsid w:val="00CD55E2"/>
    <w:rsid w:val="00CD5DFB"/>
    <w:rsid w:val="00CD5E42"/>
    <w:rsid w:val="00CD60AD"/>
    <w:rsid w:val="00CD6951"/>
    <w:rsid w:val="00CD6CFE"/>
    <w:rsid w:val="00CD6EA2"/>
    <w:rsid w:val="00CD6EE7"/>
    <w:rsid w:val="00CE0475"/>
    <w:rsid w:val="00CE072D"/>
    <w:rsid w:val="00CE07BE"/>
    <w:rsid w:val="00CE0A90"/>
    <w:rsid w:val="00CE14FB"/>
    <w:rsid w:val="00CE1D12"/>
    <w:rsid w:val="00CE1D20"/>
    <w:rsid w:val="00CE224F"/>
    <w:rsid w:val="00CE2453"/>
    <w:rsid w:val="00CE3F86"/>
    <w:rsid w:val="00CE422A"/>
    <w:rsid w:val="00CE4DC1"/>
    <w:rsid w:val="00CE52F2"/>
    <w:rsid w:val="00CE5300"/>
    <w:rsid w:val="00CE54F0"/>
    <w:rsid w:val="00CE57F4"/>
    <w:rsid w:val="00CE5A15"/>
    <w:rsid w:val="00CE5C28"/>
    <w:rsid w:val="00CE6349"/>
    <w:rsid w:val="00CE64EF"/>
    <w:rsid w:val="00CE65E4"/>
    <w:rsid w:val="00CE67ED"/>
    <w:rsid w:val="00CE7911"/>
    <w:rsid w:val="00CE7C92"/>
    <w:rsid w:val="00CE7CB7"/>
    <w:rsid w:val="00CF0189"/>
    <w:rsid w:val="00CF0464"/>
    <w:rsid w:val="00CF0BE4"/>
    <w:rsid w:val="00CF118A"/>
    <w:rsid w:val="00CF1587"/>
    <w:rsid w:val="00CF1E9B"/>
    <w:rsid w:val="00CF242E"/>
    <w:rsid w:val="00CF2D59"/>
    <w:rsid w:val="00CF3120"/>
    <w:rsid w:val="00CF406A"/>
    <w:rsid w:val="00CF42B6"/>
    <w:rsid w:val="00CF4305"/>
    <w:rsid w:val="00CF4B2B"/>
    <w:rsid w:val="00CF555F"/>
    <w:rsid w:val="00CF5676"/>
    <w:rsid w:val="00CF5D44"/>
    <w:rsid w:val="00CF5EFF"/>
    <w:rsid w:val="00CF6385"/>
    <w:rsid w:val="00CF6BC2"/>
    <w:rsid w:val="00CF6FE3"/>
    <w:rsid w:val="00CF7232"/>
    <w:rsid w:val="00CF7647"/>
    <w:rsid w:val="00CF79FA"/>
    <w:rsid w:val="00CF7CF7"/>
    <w:rsid w:val="00D00FF6"/>
    <w:rsid w:val="00D01CA0"/>
    <w:rsid w:val="00D01D89"/>
    <w:rsid w:val="00D0252E"/>
    <w:rsid w:val="00D02941"/>
    <w:rsid w:val="00D036EA"/>
    <w:rsid w:val="00D03794"/>
    <w:rsid w:val="00D03CE9"/>
    <w:rsid w:val="00D03D08"/>
    <w:rsid w:val="00D03EA6"/>
    <w:rsid w:val="00D04279"/>
    <w:rsid w:val="00D04E52"/>
    <w:rsid w:val="00D050B9"/>
    <w:rsid w:val="00D051E4"/>
    <w:rsid w:val="00D05272"/>
    <w:rsid w:val="00D05CB4"/>
    <w:rsid w:val="00D05E44"/>
    <w:rsid w:val="00D0648D"/>
    <w:rsid w:val="00D06C9A"/>
    <w:rsid w:val="00D06D14"/>
    <w:rsid w:val="00D06EAE"/>
    <w:rsid w:val="00D0748D"/>
    <w:rsid w:val="00D0772B"/>
    <w:rsid w:val="00D07C35"/>
    <w:rsid w:val="00D10624"/>
    <w:rsid w:val="00D1066A"/>
    <w:rsid w:val="00D10BF1"/>
    <w:rsid w:val="00D1193B"/>
    <w:rsid w:val="00D11B4E"/>
    <w:rsid w:val="00D1226B"/>
    <w:rsid w:val="00D1306B"/>
    <w:rsid w:val="00D137CA"/>
    <w:rsid w:val="00D141EB"/>
    <w:rsid w:val="00D14284"/>
    <w:rsid w:val="00D14677"/>
    <w:rsid w:val="00D14E5E"/>
    <w:rsid w:val="00D156BF"/>
    <w:rsid w:val="00D15D1F"/>
    <w:rsid w:val="00D15EE1"/>
    <w:rsid w:val="00D16414"/>
    <w:rsid w:val="00D1651E"/>
    <w:rsid w:val="00D16A0B"/>
    <w:rsid w:val="00D16DCD"/>
    <w:rsid w:val="00D1740F"/>
    <w:rsid w:val="00D17578"/>
    <w:rsid w:val="00D17B9A"/>
    <w:rsid w:val="00D20A7E"/>
    <w:rsid w:val="00D21031"/>
    <w:rsid w:val="00D214E1"/>
    <w:rsid w:val="00D220FF"/>
    <w:rsid w:val="00D228CC"/>
    <w:rsid w:val="00D2370E"/>
    <w:rsid w:val="00D2384F"/>
    <w:rsid w:val="00D23B9F"/>
    <w:rsid w:val="00D24158"/>
    <w:rsid w:val="00D24401"/>
    <w:rsid w:val="00D2466D"/>
    <w:rsid w:val="00D24E66"/>
    <w:rsid w:val="00D251DC"/>
    <w:rsid w:val="00D252F3"/>
    <w:rsid w:val="00D27A95"/>
    <w:rsid w:val="00D30011"/>
    <w:rsid w:val="00D30164"/>
    <w:rsid w:val="00D3076D"/>
    <w:rsid w:val="00D30A3F"/>
    <w:rsid w:val="00D31367"/>
    <w:rsid w:val="00D31368"/>
    <w:rsid w:val="00D31E98"/>
    <w:rsid w:val="00D3240B"/>
    <w:rsid w:val="00D32E71"/>
    <w:rsid w:val="00D34247"/>
    <w:rsid w:val="00D342B0"/>
    <w:rsid w:val="00D34BDB"/>
    <w:rsid w:val="00D34F55"/>
    <w:rsid w:val="00D34FC5"/>
    <w:rsid w:val="00D354B7"/>
    <w:rsid w:val="00D366B0"/>
    <w:rsid w:val="00D36D1C"/>
    <w:rsid w:val="00D3714D"/>
    <w:rsid w:val="00D3758F"/>
    <w:rsid w:val="00D37DB2"/>
    <w:rsid w:val="00D37E4A"/>
    <w:rsid w:val="00D37FD4"/>
    <w:rsid w:val="00D4000C"/>
    <w:rsid w:val="00D40061"/>
    <w:rsid w:val="00D4103D"/>
    <w:rsid w:val="00D41D37"/>
    <w:rsid w:val="00D42153"/>
    <w:rsid w:val="00D4237E"/>
    <w:rsid w:val="00D429CB"/>
    <w:rsid w:val="00D4300B"/>
    <w:rsid w:val="00D43435"/>
    <w:rsid w:val="00D43C43"/>
    <w:rsid w:val="00D44618"/>
    <w:rsid w:val="00D44B01"/>
    <w:rsid w:val="00D4578C"/>
    <w:rsid w:val="00D460C5"/>
    <w:rsid w:val="00D4612E"/>
    <w:rsid w:val="00D46595"/>
    <w:rsid w:val="00D4660B"/>
    <w:rsid w:val="00D46EEB"/>
    <w:rsid w:val="00D47215"/>
    <w:rsid w:val="00D47773"/>
    <w:rsid w:val="00D50335"/>
    <w:rsid w:val="00D50AB1"/>
    <w:rsid w:val="00D5130D"/>
    <w:rsid w:val="00D51B4E"/>
    <w:rsid w:val="00D52B23"/>
    <w:rsid w:val="00D52B50"/>
    <w:rsid w:val="00D531C7"/>
    <w:rsid w:val="00D532F2"/>
    <w:rsid w:val="00D534FA"/>
    <w:rsid w:val="00D53680"/>
    <w:rsid w:val="00D53D52"/>
    <w:rsid w:val="00D54157"/>
    <w:rsid w:val="00D54859"/>
    <w:rsid w:val="00D549EA"/>
    <w:rsid w:val="00D560AA"/>
    <w:rsid w:val="00D568C9"/>
    <w:rsid w:val="00D568D7"/>
    <w:rsid w:val="00D570F9"/>
    <w:rsid w:val="00D57616"/>
    <w:rsid w:val="00D57D98"/>
    <w:rsid w:val="00D60372"/>
    <w:rsid w:val="00D604B4"/>
    <w:rsid w:val="00D607F3"/>
    <w:rsid w:val="00D60ADA"/>
    <w:rsid w:val="00D60C9B"/>
    <w:rsid w:val="00D60F93"/>
    <w:rsid w:val="00D6108D"/>
    <w:rsid w:val="00D611B4"/>
    <w:rsid w:val="00D613B4"/>
    <w:rsid w:val="00D617C4"/>
    <w:rsid w:val="00D62045"/>
    <w:rsid w:val="00D6247B"/>
    <w:rsid w:val="00D631AB"/>
    <w:rsid w:val="00D634EC"/>
    <w:rsid w:val="00D64077"/>
    <w:rsid w:val="00D64312"/>
    <w:rsid w:val="00D6490B"/>
    <w:rsid w:val="00D64E8B"/>
    <w:rsid w:val="00D65C8C"/>
    <w:rsid w:val="00D664D5"/>
    <w:rsid w:val="00D66591"/>
    <w:rsid w:val="00D667F8"/>
    <w:rsid w:val="00D675D6"/>
    <w:rsid w:val="00D67978"/>
    <w:rsid w:val="00D67B51"/>
    <w:rsid w:val="00D67F68"/>
    <w:rsid w:val="00D70C68"/>
    <w:rsid w:val="00D71600"/>
    <w:rsid w:val="00D717ED"/>
    <w:rsid w:val="00D71B8B"/>
    <w:rsid w:val="00D72306"/>
    <w:rsid w:val="00D7235A"/>
    <w:rsid w:val="00D725DD"/>
    <w:rsid w:val="00D73316"/>
    <w:rsid w:val="00D736C1"/>
    <w:rsid w:val="00D73AF5"/>
    <w:rsid w:val="00D7410C"/>
    <w:rsid w:val="00D74F2B"/>
    <w:rsid w:val="00D751A4"/>
    <w:rsid w:val="00D75589"/>
    <w:rsid w:val="00D7572A"/>
    <w:rsid w:val="00D75881"/>
    <w:rsid w:val="00D75C35"/>
    <w:rsid w:val="00D75D8A"/>
    <w:rsid w:val="00D75E82"/>
    <w:rsid w:val="00D7604B"/>
    <w:rsid w:val="00D77979"/>
    <w:rsid w:val="00D77A16"/>
    <w:rsid w:val="00D80BAB"/>
    <w:rsid w:val="00D81093"/>
    <w:rsid w:val="00D813D1"/>
    <w:rsid w:val="00D81ACC"/>
    <w:rsid w:val="00D81B41"/>
    <w:rsid w:val="00D81D99"/>
    <w:rsid w:val="00D8238B"/>
    <w:rsid w:val="00D82603"/>
    <w:rsid w:val="00D82B78"/>
    <w:rsid w:val="00D834AE"/>
    <w:rsid w:val="00D83B1A"/>
    <w:rsid w:val="00D8401F"/>
    <w:rsid w:val="00D846C8"/>
    <w:rsid w:val="00D84AE2"/>
    <w:rsid w:val="00D85485"/>
    <w:rsid w:val="00D8603D"/>
    <w:rsid w:val="00D86139"/>
    <w:rsid w:val="00D8637C"/>
    <w:rsid w:val="00D8641D"/>
    <w:rsid w:val="00D868CE"/>
    <w:rsid w:val="00D86B2E"/>
    <w:rsid w:val="00D86C0A"/>
    <w:rsid w:val="00D8714D"/>
    <w:rsid w:val="00D87E2C"/>
    <w:rsid w:val="00D87ED5"/>
    <w:rsid w:val="00D900F4"/>
    <w:rsid w:val="00D903A7"/>
    <w:rsid w:val="00D904FB"/>
    <w:rsid w:val="00D90666"/>
    <w:rsid w:val="00D90AD2"/>
    <w:rsid w:val="00D90B30"/>
    <w:rsid w:val="00D91217"/>
    <w:rsid w:val="00D9176C"/>
    <w:rsid w:val="00D91869"/>
    <w:rsid w:val="00D91874"/>
    <w:rsid w:val="00D91BAE"/>
    <w:rsid w:val="00D925E0"/>
    <w:rsid w:val="00D9260C"/>
    <w:rsid w:val="00D929E7"/>
    <w:rsid w:val="00D93054"/>
    <w:rsid w:val="00D937AA"/>
    <w:rsid w:val="00D939F9"/>
    <w:rsid w:val="00D944F9"/>
    <w:rsid w:val="00D94A03"/>
    <w:rsid w:val="00D94F46"/>
    <w:rsid w:val="00D952AE"/>
    <w:rsid w:val="00D965AB"/>
    <w:rsid w:val="00D9705A"/>
    <w:rsid w:val="00D9739E"/>
    <w:rsid w:val="00D97D8D"/>
    <w:rsid w:val="00DA09A7"/>
    <w:rsid w:val="00DA0C4D"/>
    <w:rsid w:val="00DA0C51"/>
    <w:rsid w:val="00DA11F3"/>
    <w:rsid w:val="00DA182A"/>
    <w:rsid w:val="00DA1AE8"/>
    <w:rsid w:val="00DA1F8D"/>
    <w:rsid w:val="00DA2379"/>
    <w:rsid w:val="00DA2594"/>
    <w:rsid w:val="00DA2A27"/>
    <w:rsid w:val="00DA2AC4"/>
    <w:rsid w:val="00DA3001"/>
    <w:rsid w:val="00DA3F3D"/>
    <w:rsid w:val="00DA4032"/>
    <w:rsid w:val="00DA484F"/>
    <w:rsid w:val="00DA4CF0"/>
    <w:rsid w:val="00DA4CF2"/>
    <w:rsid w:val="00DA4D50"/>
    <w:rsid w:val="00DA588A"/>
    <w:rsid w:val="00DA5FC5"/>
    <w:rsid w:val="00DA6135"/>
    <w:rsid w:val="00DA66DA"/>
    <w:rsid w:val="00DA7984"/>
    <w:rsid w:val="00DA7EDE"/>
    <w:rsid w:val="00DB06B1"/>
    <w:rsid w:val="00DB0794"/>
    <w:rsid w:val="00DB0882"/>
    <w:rsid w:val="00DB0E80"/>
    <w:rsid w:val="00DB15CB"/>
    <w:rsid w:val="00DB1874"/>
    <w:rsid w:val="00DB1DE8"/>
    <w:rsid w:val="00DB26BE"/>
    <w:rsid w:val="00DB34CB"/>
    <w:rsid w:val="00DB3652"/>
    <w:rsid w:val="00DB4009"/>
    <w:rsid w:val="00DB43B3"/>
    <w:rsid w:val="00DB4BEE"/>
    <w:rsid w:val="00DB6A63"/>
    <w:rsid w:val="00DB6B9C"/>
    <w:rsid w:val="00DB7905"/>
    <w:rsid w:val="00DB7C63"/>
    <w:rsid w:val="00DC03C5"/>
    <w:rsid w:val="00DC0637"/>
    <w:rsid w:val="00DC0D69"/>
    <w:rsid w:val="00DC1404"/>
    <w:rsid w:val="00DC155F"/>
    <w:rsid w:val="00DC1572"/>
    <w:rsid w:val="00DC168E"/>
    <w:rsid w:val="00DC36FF"/>
    <w:rsid w:val="00DC3A53"/>
    <w:rsid w:val="00DC3E82"/>
    <w:rsid w:val="00DC3FDB"/>
    <w:rsid w:val="00DC460D"/>
    <w:rsid w:val="00DC48B2"/>
    <w:rsid w:val="00DC504F"/>
    <w:rsid w:val="00DC5133"/>
    <w:rsid w:val="00DC552B"/>
    <w:rsid w:val="00DC6242"/>
    <w:rsid w:val="00DC6B18"/>
    <w:rsid w:val="00DC7844"/>
    <w:rsid w:val="00DD00E9"/>
    <w:rsid w:val="00DD016D"/>
    <w:rsid w:val="00DD0416"/>
    <w:rsid w:val="00DD089C"/>
    <w:rsid w:val="00DD0AED"/>
    <w:rsid w:val="00DD0D91"/>
    <w:rsid w:val="00DD12AC"/>
    <w:rsid w:val="00DD1684"/>
    <w:rsid w:val="00DD188B"/>
    <w:rsid w:val="00DD1DC7"/>
    <w:rsid w:val="00DD2AF4"/>
    <w:rsid w:val="00DD2B79"/>
    <w:rsid w:val="00DD2CEF"/>
    <w:rsid w:val="00DD33AC"/>
    <w:rsid w:val="00DD3494"/>
    <w:rsid w:val="00DD43BC"/>
    <w:rsid w:val="00DD4574"/>
    <w:rsid w:val="00DD4DBE"/>
    <w:rsid w:val="00DD5771"/>
    <w:rsid w:val="00DD6990"/>
    <w:rsid w:val="00DD6D21"/>
    <w:rsid w:val="00DD7C28"/>
    <w:rsid w:val="00DD7DD1"/>
    <w:rsid w:val="00DD7E5A"/>
    <w:rsid w:val="00DE0052"/>
    <w:rsid w:val="00DE0DA9"/>
    <w:rsid w:val="00DE1678"/>
    <w:rsid w:val="00DE1687"/>
    <w:rsid w:val="00DE17EC"/>
    <w:rsid w:val="00DE1880"/>
    <w:rsid w:val="00DE1A7E"/>
    <w:rsid w:val="00DE1E97"/>
    <w:rsid w:val="00DE2152"/>
    <w:rsid w:val="00DE3414"/>
    <w:rsid w:val="00DE407E"/>
    <w:rsid w:val="00DE4B13"/>
    <w:rsid w:val="00DE4CE6"/>
    <w:rsid w:val="00DE4F2E"/>
    <w:rsid w:val="00DE5762"/>
    <w:rsid w:val="00DE5919"/>
    <w:rsid w:val="00DE5AB9"/>
    <w:rsid w:val="00DE6D72"/>
    <w:rsid w:val="00DE7365"/>
    <w:rsid w:val="00DE75FC"/>
    <w:rsid w:val="00DE7B6B"/>
    <w:rsid w:val="00DF0DC4"/>
    <w:rsid w:val="00DF0F29"/>
    <w:rsid w:val="00DF22C6"/>
    <w:rsid w:val="00DF2694"/>
    <w:rsid w:val="00DF3725"/>
    <w:rsid w:val="00DF3901"/>
    <w:rsid w:val="00DF3E80"/>
    <w:rsid w:val="00DF4017"/>
    <w:rsid w:val="00DF48B4"/>
    <w:rsid w:val="00DF4EBE"/>
    <w:rsid w:val="00DF5C32"/>
    <w:rsid w:val="00DF6228"/>
    <w:rsid w:val="00DF6E9C"/>
    <w:rsid w:val="00DF6FE0"/>
    <w:rsid w:val="00E003BF"/>
    <w:rsid w:val="00E009B3"/>
    <w:rsid w:val="00E00AA3"/>
    <w:rsid w:val="00E01898"/>
    <w:rsid w:val="00E01B58"/>
    <w:rsid w:val="00E01FAE"/>
    <w:rsid w:val="00E02081"/>
    <w:rsid w:val="00E028AC"/>
    <w:rsid w:val="00E03041"/>
    <w:rsid w:val="00E03A4E"/>
    <w:rsid w:val="00E03B96"/>
    <w:rsid w:val="00E03F37"/>
    <w:rsid w:val="00E0468C"/>
    <w:rsid w:val="00E049AA"/>
    <w:rsid w:val="00E04EC4"/>
    <w:rsid w:val="00E0557B"/>
    <w:rsid w:val="00E05CCB"/>
    <w:rsid w:val="00E05E54"/>
    <w:rsid w:val="00E060AE"/>
    <w:rsid w:val="00E0681E"/>
    <w:rsid w:val="00E06C13"/>
    <w:rsid w:val="00E07066"/>
    <w:rsid w:val="00E07813"/>
    <w:rsid w:val="00E07A6E"/>
    <w:rsid w:val="00E07B4D"/>
    <w:rsid w:val="00E07FCF"/>
    <w:rsid w:val="00E12703"/>
    <w:rsid w:val="00E12D9B"/>
    <w:rsid w:val="00E143E5"/>
    <w:rsid w:val="00E14767"/>
    <w:rsid w:val="00E14A64"/>
    <w:rsid w:val="00E14AF2"/>
    <w:rsid w:val="00E14DF1"/>
    <w:rsid w:val="00E16127"/>
    <w:rsid w:val="00E17563"/>
    <w:rsid w:val="00E1759A"/>
    <w:rsid w:val="00E17622"/>
    <w:rsid w:val="00E179BC"/>
    <w:rsid w:val="00E17A83"/>
    <w:rsid w:val="00E17B34"/>
    <w:rsid w:val="00E17FC3"/>
    <w:rsid w:val="00E2070C"/>
    <w:rsid w:val="00E20A0B"/>
    <w:rsid w:val="00E20F5C"/>
    <w:rsid w:val="00E211D0"/>
    <w:rsid w:val="00E2139A"/>
    <w:rsid w:val="00E21EB0"/>
    <w:rsid w:val="00E21F24"/>
    <w:rsid w:val="00E22371"/>
    <w:rsid w:val="00E225D2"/>
    <w:rsid w:val="00E23B92"/>
    <w:rsid w:val="00E2428D"/>
    <w:rsid w:val="00E25491"/>
    <w:rsid w:val="00E255F0"/>
    <w:rsid w:val="00E258CE"/>
    <w:rsid w:val="00E25B43"/>
    <w:rsid w:val="00E25D2E"/>
    <w:rsid w:val="00E26C20"/>
    <w:rsid w:val="00E26F6A"/>
    <w:rsid w:val="00E27975"/>
    <w:rsid w:val="00E321EA"/>
    <w:rsid w:val="00E3256A"/>
    <w:rsid w:val="00E32652"/>
    <w:rsid w:val="00E32B85"/>
    <w:rsid w:val="00E335E2"/>
    <w:rsid w:val="00E337A8"/>
    <w:rsid w:val="00E33A33"/>
    <w:rsid w:val="00E3402D"/>
    <w:rsid w:val="00E34A64"/>
    <w:rsid w:val="00E34D11"/>
    <w:rsid w:val="00E350A6"/>
    <w:rsid w:val="00E352D1"/>
    <w:rsid w:val="00E3561F"/>
    <w:rsid w:val="00E35EE0"/>
    <w:rsid w:val="00E35EEA"/>
    <w:rsid w:val="00E35FDD"/>
    <w:rsid w:val="00E3657D"/>
    <w:rsid w:val="00E37076"/>
    <w:rsid w:val="00E373B8"/>
    <w:rsid w:val="00E37430"/>
    <w:rsid w:val="00E379D9"/>
    <w:rsid w:val="00E400B1"/>
    <w:rsid w:val="00E401AC"/>
    <w:rsid w:val="00E408B6"/>
    <w:rsid w:val="00E40905"/>
    <w:rsid w:val="00E41A6B"/>
    <w:rsid w:val="00E41F10"/>
    <w:rsid w:val="00E41FE4"/>
    <w:rsid w:val="00E42230"/>
    <w:rsid w:val="00E4233F"/>
    <w:rsid w:val="00E427D3"/>
    <w:rsid w:val="00E4320E"/>
    <w:rsid w:val="00E43544"/>
    <w:rsid w:val="00E43A5E"/>
    <w:rsid w:val="00E43A86"/>
    <w:rsid w:val="00E442FF"/>
    <w:rsid w:val="00E46834"/>
    <w:rsid w:val="00E46C92"/>
    <w:rsid w:val="00E475E0"/>
    <w:rsid w:val="00E50685"/>
    <w:rsid w:val="00E50AD7"/>
    <w:rsid w:val="00E52AE1"/>
    <w:rsid w:val="00E52D4B"/>
    <w:rsid w:val="00E53E5E"/>
    <w:rsid w:val="00E54165"/>
    <w:rsid w:val="00E5470E"/>
    <w:rsid w:val="00E548D2"/>
    <w:rsid w:val="00E5493A"/>
    <w:rsid w:val="00E55902"/>
    <w:rsid w:val="00E56560"/>
    <w:rsid w:val="00E56605"/>
    <w:rsid w:val="00E5660E"/>
    <w:rsid w:val="00E56940"/>
    <w:rsid w:val="00E569E9"/>
    <w:rsid w:val="00E56F2F"/>
    <w:rsid w:val="00E574C6"/>
    <w:rsid w:val="00E57723"/>
    <w:rsid w:val="00E57CF1"/>
    <w:rsid w:val="00E6079C"/>
    <w:rsid w:val="00E60950"/>
    <w:rsid w:val="00E60F05"/>
    <w:rsid w:val="00E618CF"/>
    <w:rsid w:val="00E61C6F"/>
    <w:rsid w:val="00E61D63"/>
    <w:rsid w:val="00E61D68"/>
    <w:rsid w:val="00E61FA9"/>
    <w:rsid w:val="00E62153"/>
    <w:rsid w:val="00E6220E"/>
    <w:rsid w:val="00E62696"/>
    <w:rsid w:val="00E628CD"/>
    <w:rsid w:val="00E62AE5"/>
    <w:rsid w:val="00E6392F"/>
    <w:rsid w:val="00E63CDE"/>
    <w:rsid w:val="00E643A5"/>
    <w:rsid w:val="00E649F9"/>
    <w:rsid w:val="00E65787"/>
    <w:rsid w:val="00E65AD4"/>
    <w:rsid w:val="00E65FAD"/>
    <w:rsid w:val="00E66299"/>
    <w:rsid w:val="00E670AA"/>
    <w:rsid w:val="00E70869"/>
    <w:rsid w:val="00E70A52"/>
    <w:rsid w:val="00E70DBD"/>
    <w:rsid w:val="00E71088"/>
    <w:rsid w:val="00E7116B"/>
    <w:rsid w:val="00E7159D"/>
    <w:rsid w:val="00E71A30"/>
    <w:rsid w:val="00E72695"/>
    <w:rsid w:val="00E7293C"/>
    <w:rsid w:val="00E72DE8"/>
    <w:rsid w:val="00E73B7A"/>
    <w:rsid w:val="00E74DAB"/>
    <w:rsid w:val="00E75BF3"/>
    <w:rsid w:val="00E75D32"/>
    <w:rsid w:val="00E7610C"/>
    <w:rsid w:val="00E7630D"/>
    <w:rsid w:val="00E7631F"/>
    <w:rsid w:val="00E7728A"/>
    <w:rsid w:val="00E776E7"/>
    <w:rsid w:val="00E801B8"/>
    <w:rsid w:val="00E81A16"/>
    <w:rsid w:val="00E81BD9"/>
    <w:rsid w:val="00E82143"/>
    <w:rsid w:val="00E823A5"/>
    <w:rsid w:val="00E824F1"/>
    <w:rsid w:val="00E847B6"/>
    <w:rsid w:val="00E848ED"/>
    <w:rsid w:val="00E84DF4"/>
    <w:rsid w:val="00E850F9"/>
    <w:rsid w:val="00E8531D"/>
    <w:rsid w:val="00E857C7"/>
    <w:rsid w:val="00E8598A"/>
    <w:rsid w:val="00E860C7"/>
    <w:rsid w:val="00E86362"/>
    <w:rsid w:val="00E86FB1"/>
    <w:rsid w:val="00E879E0"/>
    <w:rsid w:val="00E90827"/>
    <w:rsid w:val="00E90946"/>
    <w:rsid w:val="00E90C38"/>
    <w:rsid w:val="00E9196A"/>
    <w:rsid w:val="00E920D4"/>
    <w:rsid w:val="00E92679"/>
    <w:rsid w:val="00E92C52"/>
    <w:rsid w:val="00E93392"/>
    <w:rsid w:val="00E94914"/>
    <w:rsid w:val="00E94C9D"/>
    <w:rsid w:val="00E950DF"/>
    <w:rsid w:val="00E95C6E"/>
    <w:rsid w:val="00E95E4B"/>
    <w:rsid w:val="00E9658D"/>
    <w:rsid w:val="00E96770"/>
    <w:rsid w:val="00E96A52"/>
    <w:rsid w:val="00E96A91"/>
    <w:rsid w:val="00E96AA9"/>
    <w:rsid w:val="00E96D8C"/>
    <w:rsid w:val="00E96F3D"/>
    <w:rsid w:val="00E97024"/>
    <w:rsid w:val="00E9734F"/>
    <w:rsid w:val="00E975FB"/>
    <w:rsid w:val="00E97F8A"/>
    <w:rsid w:val="00EA0356"/>
    <w:rsid w:val="00EA050B"/>
    <w:rsid w:val="00EA0F5A"/>
    <w:rsid w:val="00EA12FA"/>
    <w:rsid w:val="00EA12FE"/>
    <w:rsid w:val="00EA1559"/>
    <w:rsid w:val="00EA15F6"/>
    <w:rsid w:val="00EA1961"/>
    <w:rsid w:val="00EA20B6"/>
    <w:rsid w:val="00EA2266"/>
    <w:rsid w:val="00EA3725"/>
    <w:rsid w:val="00EA3BF1"/>
    <w:rsid w:val="00EA3E95"/>
    <w:rsid w:val="00EA430A"/>
    <w:rsid w:val="00EA47CC"/>
    <w:rsid w:val="00EA5445"/>
    <w:rsid w:val="00EA5A80"/>
    <w:rsid w:val="00EA5FF4"/>
    <w:rsid w:val="00EA6202"/>
    <w:rsid w:val="00EA7759"/>
    <w:rsid w:val="00EA77D1"/>
    <w:rsid w:val="00EA7D75"/>
    <w:rsid w:val="00EB04A3"/>
    <w:rsid w:val="00EB0A0C"/>
    <w:rsid w:val="00EB18A3"/>
    <w:rsid w:val="00EB1DF5"/>
    <w:rsid w:val="00EB29C8"/>
    <w:rsid w:val="00EB2A6B"/>
    <w:rsid w:val="00EB3072"/>
    <w:rsid w:val="00EB31C6"/>
    <w:rsid w:val="00EB3EA8"/>
    <w:rsid w:val="00EB3F5F"/>
    <w:rsid w:val="00EB5101"/>
    <w:rsid w:val="00EB6B2D"/>
    <w:rsid w:val="00EB6DB8"/>
    <w:rsid w:val="00EB7551"/>
    <w:rsid w:val="00EB7D16"/>
    <w:rsid w:val="00EC0F2E"/>
    <w:rsid w:val="00EC0FD0"/>
    <w:rsid w:val="00EC1233"/>
    <w:rsid w:val="00EC1E33"/>
    <w:rsid w:val="00EC2870"/>
    <w:rsid w:val="00EC2AE7"/>
    <w:rsid w:val="00EC345B"/>
    <w:rsid w:val="00EC374D"/>
    <w:rsid w:val="00EC3A3E"/>
    <w:rsid w:val="00EC3B59"/>
    <w:rsid w:val="00EC4E0C"/>
    <w:rsid w:val="00EC4F09"/>
    <w:rsid w:val="00EC5632"/>
    <w:rsid w:val="00EC57AB"/>
    <w:rsid w:val="00EC594D"/>
    <w:rsid w:val="00EC5DAF"/>
    <w:rsid w:val="00EC704B"/>
    <w:rsid w:val="00EC74A3"/>
    <w:rsid w:val="00EC767A"/>
    <w:rsid w:val="00EC7827"/>
    <w:rsid w:val="00ED0153"/>
    <w:rsid w:val="00ED080B"/>
    <w:rsid w:val="00ED0E3B"/>
    <w:rsid w:val="00ED101D"/>
    <w:rsid w:val="00ED1090"/>
    <w:rsid w:val="00ED12C3"/>
    <w:rsid w:val="00ED14BD"/>
    <w:rsid w:val="00ED157D"/>
    <w:rsid w:val="00ED1FA9"/>
    <w:rsid w:val="00ED2139"/>
    <w:rsid w:val="00ED2804"/>
    <w:rsid w:val="00ED3AA6"/>
    <w:rsid w:val="00ED3B66"/>
    <w:rsid w:val="00ED5639"/>
    <w:rsid w:val="00ED64C4"/>
    <w:rsid w:val="00ED6C15"/>
    <w:rsid w:val="00ED6F9F"/>
    <w:rsid w:val="00ED6FD2"/>
    <w:rsid w:val="00ED7526"/>
    <w:rsid w:val="00EE01E0"/>
    <w:rsid w:val="00EE03D2"/>
    <w:rsid w:val="00EE1805"/>
    <w:rsid w:val="00EE198F"/>
    <w:rsid w:val="00EE1C61"/>
    <w:rsid w:val="00EE263E"/>
    <w:rsid w:val="00EE2DEE"/>
    <w:rsid w:val="00EE33B5"/>
    <w:rsid w:val="00EE38D7"/>
    <w:rsid w:val="00EE3D1B"/>
    <w:rsid w:val="00EE5021"/>
    <w:rsid w:val="00EE50F0"/>
    <w:rsid w:val="00EE5211"/>
    <w:rsid w:val="00EE58E3"/>
    <w:rsid w:val="00EE6412"/>
    <w:rsid w:val="00EE696C"/>
    <w:rsid w:val="00EE69CB"/>
    <w:rsid w:val="00EE6FEC"/>
    <w:rsid w:val="00EE7139"/>
    <w:rsid w:val="00EE739E"/>
    <w:rsid w:val="00EE7412"/>
    <w:rsid w:val="00EE776A"/>
    <w:rsid w:val="00EE7D83"/>
    <w:rsid w:val="00EF036B"/>
    <w:rsid w:val="00EF06C9"/>
    <w:rsid w:val="00EF0C91"/>
    <w:rsid w:val="00EF0D4D"/>
    <w:rsid w:val="00EF1981"/>
    <w:rsid w:val="00EF19D9"/>
    <w:rsid w:val="00EF1DF7"/>
    <w:rsid w:val="00EF2D5F"/>
    <w:rsid w:val="00EF3070"/>
    <w:rsid w:val="00EF31DD"/>
    <w:rsid w:val="00EF45CA"/>
    <w:rsid w:val="00EF4A93"/>
    <w:rsid w:val="00EF4D8C"/>
    <w:rsid w:val="00EF4E66"/>
    <w:rsid w:val="00EF53C3"/>
    <w:rsid w:val="00EF5426"/>
    <w:rsid w:val="00EF560B"/>
    <w:rsid w:val="00EF5A13"/>
    <w:rsid w:val="00EF699C"/>
    <w:rsid w:val="00EF72E6"/>
    <w:rsid w:val="00EF7658"/>
    <w:rsid w:val="00EF7DD7"/>
    <w:rsid w:val="00EFF3F3"/>
    <w:rsid w:val="00F000BB"/>
    <w:rsid w:val="00F001F9"/>
    <w:rsid w:val="00F0057C"/>
    <w:rsid w:val="00F01061"/>
    <w:rsid w:val="00F013C1"/>
    <w:rsid w:val="00F01B45"/>
    <w:rsid w:val="00F01BAE"/>
    <w:rsid w:val="00F01D34"/>
    <w:rsid w:val="00F01E4A"/>
    <w:rsid w:val="00F01FFD"/>
    <w:rsid w:val="00F02093"/>
    <w:rsid w:val="00F02F07"/>
    <w:rsid w:val="00F0359D"/>
    <w:rsid w:val="00F03B64"/>
    <w:rsid w:val="00F03C25"/>
    <w:rsid w:val="00F04450"/>
    <w:rsid w:val="00F04753"/>
    <w:rsid w:val="00F051AB"/>
    <w:rsid w:val="00F0526C"/>
    <w:rsid w:val="00F05CAB"/>
    <w:rsid w:val="00F05FAC"/>
    <w:rsid w:val="00F0612A"/>
    <w:rsid w:val="00F06359"/>
    <w:rsid w:val="00F06409"/>
    <w:rsid w:val="00F0739E"/>
    <w:rsid w:val="00F07AA2"/>
    <w:rsid w:val="00F07EBE"/>
    <w:rsid w:val="00F105C8"/>
    <w:rsid w:val="00F107C8"/>
    <w:rsid w:val="00F119D5"/>
    <w:rsid w:val="00F11ABA"/>
    <w:rsid w:val="00F12096"/>
    <w:rsid w:val="00F1210E"/>
    <w:rsid w:val="00F121A2"/>
    <w:rsid w:val="00F1256F"/>
    <w:rsid w:val="00F12EE8"/>
    <w:rsid w:val="00F134CB"/>
    <w:rsid w:val="00F1352D"/>
    <w:rsid w:val="00F139F2"/>
    <w:rsid w:val="00F13A60"/>
    <w:rsid w:val="00F13A98"/>
    <w:rsid w:val="00F13DAB"/>
    <w:rsid w:val="00F13DD2"/>
    <w:rsid w:val="00F13FD2"/>
    <w:rsid w:val="00F14784"/>
    <w:rsid w:val="00F15620"/>
    <w:rsid w:val="00F157CC"/>
    <w:rsid w:val="00F15CCD"/>
    <w:rsid w:val="00F15F25"/>
    <w:rsid w:val="00F16434"/>
    <w:rsid w:val="00F164E0"/>
    <w:rsid w:val="00F1698E"/>
    <w:rsid w:val="00F16A38"/>
    <w:rsid w:val="00F17043"/>
    <w:rsid w:val="00F1726B"/>
    <w:rsid w:val="00F17D2F"/>
    <w:rsid w:val="00F208DB"/>
    <w:rsid w:val="00F21574"/>
    <w:rsid w:val="00F21B13"/>
    <w:rsid w:val="00F21BEF"/>
    <w:rsid w:val="00F2305A"/>
    <w:rsid w:val="00F234DB"/>
    <w:rsid w:val="00F2373E"/>
    <w:rsid w:val="00F239E0"/>
    <w:rsid w:val="00F23C4D"/>
    <w:rsid w:val="00F241C8"/>
    <w:rsid w:val="00F242CF"/>
    <w:rsid w:val="00F2464D"/>
    <w:rsid w:val="00F25009"/>
    <w:rsid w:val="00F2523C"/>
    <w:rsid w:val="00F26785"/>
    <w:rsid w:val="00F26847"/>
    <w:rsid w:val="00F26C90"/>
    <w:rsid w:val="00F2740F"/>
    <w:rsid w:val="00F302CC"/>
    <w:rsid w:val="00F30AD2"/>
    <w:rsid w:val="00F30C05"/>
    <w:rsid w:val="00F31204"/>
    <w:rsid w:val="00F31762"/>
    <w:rsid w:val="00F31844"/>
    <w:rsid w:val="00F318A7"/>
    <w:rsid w:val="00F3223E"/>
    <w:rsid w:val="00F329DE"/>
    <w:rsid w:val="00F33355"/>
    <w:rsid w:val="00F33C25"/>
    <w:rsid w:val="00F33EAE"/>
    <w:rsid w:val="00F34D81"/>
    <w:rsid w:val="00F34E09"/>
    <w:rsid w:val="00F34ED0"/>
    <w:rsid w:val="00F357E6"/>
    <w:rsid w:val="00F35EB0"/>
    <w:rsid w:val="00F362DD"/>
    <w:rsid w:val="00F364D0"/>
    <w:rsid w:val="00F369C6"/>
    <w:rsid w:val="00F36DEC"/>
    <w:rsid w:val="00F37193"/>
    <w:rsid w:val="00F378DC"/>
    <w:rsid w:val="00F37CD5"/>
    <w:rsid w:val="00F37D68"/>
    <w:rsid w:val="00F40275"/>
    <w:rsid w:val="00F409AC"/>
    <w:rsid w:val="00F40F36"/>
    <w:rsid w:val="00F414DC"/>
    <w:rsid w:val="00F41CA8"/>
    <w:rsid w:val="00F41D7A"/>
    <w:rsid w:val="00F426D9"/>
    <w:rsid w:val="00F429A2"/>
    <w:rsid w:val="00F437C4"/>
    <w:rsid w:val="00F43FCB"/>
    <w:rsid w:val="00F442E4"/>
    <w:rsid w:val="00F443E6"/>
    <w:rsid w:val="00F4464B"/>
    <w:rsid w:val="00F44962"/>
    <w:rsid w:val="00F46717"/>
    <w:rsid w:val="00F46B64"/>
    <w:rsid w:val="00F47092"/>
    <w:rsid w:val="00F47BCF"/>
    <w:rsid w:val="00F50089"/>
    <w:rsid w:val="00F502A8"/>
    <w:rsid w:val="00F505CE"/>
    <w:rsid w:val="00F506FA"/>
    <w:rsid w:val="00F50B9D"/>
    <w:rsid w:val="00F50C60"/>
    <w:rsid w:val="00F50DE3"/>
    <w:rsid w:val="00F5110B"/>
    <w:rsid w:val="00F513B5"/>
    <w:rsid w:val="00F5161A"/>
    <w:rsid w:val="00F5163C"/>
    <w:rsid w:val="00F51D0A"/>
    <w:rsid w:val="00F52935"/>
    <w:rsid w:val="00F5305E"/>
    <w:rsid w:val="00F53C21"/>
    <w:rsid w:val="00F53E0D"/>
    <w:rsid w:val="00F53F89"/>
    <w:rsid w:val="00F53F9A"/>
    <w:rsid w:val="00F547F5"/>
    <w:rsid w:val="00F54D65"/>
    <w:rsid w:val="00F54DAF"/>
    <w:rsid w:val="00F54E6F"/>
    <w:rsid w:val="00F553C5"/>
    <w:rsid w:val="00F5597D"/>
    <w:rsid w:val="00F5751D"/>
    <w:rsid w:val="00F57BF4"/>
    <w:rsid w:val="00F603D2"/>
    <w:rsid w:val="00F62062"/>
    <w:rsid w:val="00F62A7B"/>
    <w:rsid w:val="00F643F1"/>
    <w:rsid w:val="00F64A56"/>
    <w:rsid w:val="00F6507A"/>
    <w:rsid w:val="00F659F0"/>
    <w:rsid w:val="00F65C77"/>
    <w:rsid w:val="00F66E8A"/>
    <w:rsid w:val="00F66EDA"/>
    <w:rsid w:val="00F673E6"/>
    <w:rsid w:val="00F67A7F"/>
    <w:rsid w:val="00F67F7A"/>
    <w:rsid w:val="00F7074A"/>
    <w:rsid w:val="00F70985"/>
    <w:rsid w:val="00F71DE9"/>
    <w:rsid w:val="00F7335F"/>
    <w:rsid w:val="00F736F6"/>
    <w:rsid w:val="00F73BFB"/>
    <w:rsid w:val="00F73CC7"/>
    <w:rsid w:val="00F73E29"/>
    <w:rsid w:val="00F741EA"/>
    <w:rsid w:val="00F75C22"/>
    <w:rsid w:val="00F75C5D"/>
    <w:rsid w:val="00F76376"/>
    <w:rsid w:val="00F76590"/>
    <w:rsid w:val="00F76606"/>
    <w:rsid w:val="00F770A4"/>
    <w:rsid w:val="00F77523"/>
    <w:rsid w:val="00F77686"/>
    <w:rsid w:val="00F77F55"/>
    <w:rsid w:val="00F80DF4"/>
    <w:rsid w:val="00F813B1"/>
    <w:rsid w:val="00F813C2"/>
    <w:rsid w:val="00F81918"/>
    <w:rsid w:val="00F81D6E"/>
    <w:rsid w:val="00F82668"/>
    <w:rsid w:val="00F83DBD"/>
    <w:rsid w:val="00F84814"/>
    <w:rsid w:val="00F84D89"/>
    <w:rsid w:val="00F8513C"/>
    <w:rsid w:val="00F8560D"/>
    <w:rsid w:val="00F857FD"/>
    <w:rsid w:val="00F85950"/>
    <w:rsid w:val="00F85A01"/>
    <w:rsid w:val="00F85D34"/>
    <w:rsid w:val="00F8602F"/>
    <w:rsid w:val="00F86240"/>
    <w:rsid w:val="00F862D7"/>
    <w:rsid w:val="00F86376"/>
    <w:rsid w:val="00F86D79"/>
    <w:rsid w:val="00F87056"/>
    <w:rsid w:val="00F904F5"/>
    <w:rsid w:val="00F90D55"/>
    <w:rsid w:val="00F91572"/>
    <w:rsid w:val="00F91920"/>
    <w:rsid w:val="00F91A3E"/>
    <w:rsid w:val="00F92325"/>
    <w:rsid w:val="00F923FC"/>
    <w:rsid w:val="00F92456"/>
    <w:rsid w:val="00F92ACC"/>
    <w:rsid w:val="00F92CA8"/>
    <w:rsid w:val="00F9340E"/>
    <w:rsid w:val="00F936BB"/>
    <w:rsid w:val="00F937D2"/>
    <w:rsid w:val="00F93878"/>
    <w:rsid w:val="00F93918"/>
    <w:rsid w:val="00F93C7A"/>
    <w:rsid w:val="00F9453E"/>
    <w:rsid w:val="00F94793"/>
    <w:rsid w:val="00F94B83"/>
    <w:rsid w:val="00F95A9C"/>
    <w:rsid w:val="00F95F99"/>
    <w:rsid w:val="00F95FBC"/>
    <w:rsid w:val="00F96EFC"/>
    <w:rsid w:val="00F97088"/>
    <w:rsid w:val="00F972AA"/>
    <w:rsid w:val="00F97799"/>
    <w:rsid w:val="00F978C4"/>
    <w:rsid w:val="00F97E5A"/>
    <w:rsid w:val="00FA076A"/>
    <w:rsid w:val="00FA0FFD"/>
    <w:rsid w:val="00FA1098"/>
    <w:rsid w:val="00FA24BD"/>
    <w:rsid w:val="00FA25A5"/>
    <w:rsid w:val="00FA2792"/>
    <w:rsid w:val="00FA2959"/>
    <w:rsid w:val="00FA2BD4"/>
    <w:rsid w:val="00FA37FD"/>
    <w:rsid w:val="00FA3BE3"/>
    <w:rsid w:val="00FA4AF0"/>
    <w:rsid w:val="00FA4D21"/>
    <w:rsid w:val="00FA54C4"/>
    <w:rsid w:val="00FA5EB0"/>
    <w:rsid w:val="00FA6061"/>
    <w:rsid w:val="00FA61DC"/>
    <w:rsid w:val="00FA63CC"/>
    <w:rsid w:val="00FA6741"/>
    <w:rsid w:val="00FA7109"/>
    <w:rsid w:val="00FA71AA"/>
    <w:rsid w:val="00FA71DE"/>
    <w:rsid w:val="00FA7414"/>
    <w:rsid w:val="00FA776C"/>
    <w:rsid w:val="00FA7AD9"/>
    <w:rsid w:val="00FA7F9B"/>
    <w:rsid w:val="00FB0187"/>
    <w:rsid w:val="00FB033C"/>
    <w:rsid w:val="00FB05F9"/>
    <w:rsid w:val="00FB0803"/>
    <w:rsid w:val="00FB085D"/>
    <w:rsid w:val="00FB0EDE"/>
    <w:rsid w:val="00FB11BE"/>
    <w:rsid w:val="00FB131D"/>
    <w:rsid w:val="00FB1C6C"/>
    <w:rsid w:val="00FB20A8"/>
    <w:rsid w:val="00FB247A"/>
    <w:rsid w:val="00FB2CB3"/>
    <w:rsid w:val="00FB30EE"/>
    <w:rsid w:val="00FB55C8"/>
    <w:rsid w:val="00FB67F9"/>
    <w:rsid w:val="00FC034D"/>
    <w:rsid w:val="00FC07AB"/>
    <w:rsid w:val="00FC07CE"/>
    <w:rsid w:val="00FC0A1A"/>
    <w:rsid w:val="00FC0CB7"/>
    <w:rsid w:val="00FC1073"/>
    <w:rsid w:val="00FC28C5"/>
    <w:rsid w:val="00FC3278"/>
    <w:rsid w:val="00FC3336"/>
    <w:rsid w:val="00FC3340"/>
    <w:rsid w:val="00FC3423"/>
    <w:rsid w:val="00FC42C2"/>
    <w:rsid w:val="00FC460C"/>
    <w:rsid w:val="00FC4BC6"/>
    <w:rsid w:val="00FC4D2A"/>
    <w:rsid w:val="00FC5249"/>
    <w:rsid w:val="00FC5E03"/>
    <w:rsid w:val="00FC5F48"/>
    <w:rsid w:val="00FC6328"/>
    <w:rsid w:val="00FC663C"/>
    <w:rsid w:val="00FC6C10"/>
    <w:rsid w:val="00FC6FBD"/>
    <w:rsid w:val="00FC7B8A"/>
    <w:rsid w:val="00FD15B1"/>
    <w:rsid w:val="00FD166B"/>
    <w:rsid w:val="00FD16B6"/>
    <w:rsid w:val="00FD1827"/>
    <w:rsid w:val="00FD18E0"/>
    <w:rsid w:val="00FD18E9"/>
    <w:rsid w:val="00FD1A01"/>
    <w:rsid w:val="00FD2BA7"/>
    <w:rsid w:val="00FD3302"/>
    <w:rsid w:val="00FD4BF3"/>
    <w:rsid w:val="00FD4DE0"/>
    <w:rsid w:val="00FD4ECE"/>
    <w:rsid w:val="00FD53F9"/>
    <w:rsid w:val="00FD5765"/>
    <w:rsid w:val="00FD5DE8"/>
    <w:rsid w:val="00FD6596"/>
    <w:rsid w:val="00FD6F5D"/>
    <w:rsid w:val="00FD7975"/>
    <w:rsid w:val="00FD7E02"/>
    <w:rsid w:val="00FE0799"/>
    <w:rsid w:val="00FE0D15"/>
    <w:rsid w:val="00FE30F9"/>
    <w:rsid w:val="00FE3303"/>
    <w:rsid w:val="00FE4781"/>
    <w:rsid w:val="00FE4C45"/>
    <w:rsid w:val="00FE4C46"/>
    <w:rsid w:val="00FE5242"/>
    <w:rsid w:val="00FE57EC"/>
    <w:rsid w:val="00FE5AEF"/>
    <w:rsid w:val="00FE62CC"/>
    <w:rsid w:val="00FE649F"/>
    <w:rsid w:val="00FE6A28"/>
    <w:rsid w:val="00FE6C1F"/>
    <w:rsid w:val="00FE73BD"/>
    <w:rsid w:val="00FE743C"/>
    <w:rsid w:val="00FE798E"/>
    <w:rsid w:val="00FE7AF9"/>
    <w:rsid w:val="00FF1638"/>
    <w:rsid w:val="00FF1662"/>
    <w:rsid w:val="00FF2009"/>
    <w:rsid w:val="00FF2E31"/>
    <w:rsid w:val="00FF2F3F"/>
    <w:rsid w:val="00FF2FF3"/>
    <w:rsid w:val="00FF308E"/>
    <w:rsid w:val="00FF3146"/>
    <w:rsid w:val="00FF31CF"/>
    <w:rsid w:val="00FF3320"/>
    <w:rsid w:val="00FF4271"/>
    <w:rsid w:val="00FF4355"/>
    <w:rsid w:val="00FF45F3"/>
    <w:rsid w:val="00FF478E"/>
    <w:rsid w:val="00FF47D7"/>
    <w:rsid w:val="00FF49D3"/>
    <w:rsid w:val="00FF4FEA"/>
    <w:rsid w:val="00FF5602"/>
    <w:rsid w:val="00FF5B9D"/>
    <w:rsid w:val="00FF5FAC"/>
    <w:rsid w:val="00FF68A3"/>
    <w:rsid w:val="00FF79F5"/>
    <w:rsid w:val="010469A5"/>
    <w:rsid w:val="010AB51F"/>
    <w:rsid w:val="011B50B4"/>
    <w:rsid w:val="01396B94"/>
    <w:rsid w:val="013A65F3"/>
    <w:rsid w:val="014BE74A"/>
    <w:rsid w:val="014F5EBA"/>
    <w:rsid w:val="016CC249"/>
    <w:rsid w:val="01733B31"/>
    <w:rsid w:val="017AC8E3"/>
    <w:rsid w:val="01A2861F"/>
    <w:rsid w:val="01C9870C"/>
    <w:rsid w:val="01CDDF4B"/>
    <w:rsid w:val="01D484EE"/>
    <w:rsid w:val="01DDAE7F"/>
    <w:rsid w:val="01E78300"/>
    <w:rsid w:val="01FCA471"/>
    <w:rsid w:val="0279D42B"/>
    <w:rsid w:val="028B10A2"/>
    <w:rsid w:val="02A01E80"/>
    <w:rsid w:val="02FAFF1F"/>
    <w:rsid w:val="0319F463"/>
    <w:rsid w:val="033066B5"/>
    <w:rsid w:val="03312DE7"/>
    <w:rsid w:val="033B5086"/>
    <w:rsid w:val="038D4D69"/>
    <w:rsid w:val="03A42318"/>
    <w:rsid w:val="03B0FFA0"/>
    <w:rsid w:val="03B19E2D"/>
    <w:rsid w:val="03B5A94E"/>
    <w:rsid w:val="03BB3B31"/>
    <w:rsid w:val="03E30122"/>
    <w:rsid w:val="03F6D273"/>
    <w:rsid w:val="0422BD35"/>
    <w:rsid w:val="042B8093"/>
    <w:rsid w:val="043C908D"/>
    <w:rsid w:val="047A4BBA"/>
    <w:rsid w:val="04979CA2"/>
    <w:rsid w:val="04DFD97D"/>
    <w:rsid w:val="04EF078A"/>
    <w:rsid w:val="04F082D5"/>
    <w:rsid w:val="04F87AAC"/>
    <w:rsid w:val="051DB1A5"/>
    <w:rsid w:val="0520E98F"/>
    <w:rsid w:val="05379600"/>
    <w:rsid w:val="05413F17"/>
    <w:rsid w:val="0555EC51"/>
    <w:rsid w:val="055FB119"/>
    <w:rsid w:val="05693905"/>
    <w:rsid w:val="057CDEBB"/>
    <w:rsid w:val="059223BA"/>
    <w:rsid w:val="05BB0EFF"/>
    <w:rsid w:val="05BB96D0"/>
    <w:rsid w:val="05D3957F"/>
    <w:rsid w:val="05E1C523"/>
    <w:rsid w:val="05F75B88"/>
    <w:rsid w:val="0628F507"/>
    <w:rsid w:val="0643542E"/>
    <w:rsid w:val="0643B517"/>
    <w:rsid w:val="064A9EE5"/>
    <w:rsid w:val="06630CEA"/>
    <w:rsid w:val="0674D307"/>
    <w:rsid w:val="06853F65"/>
    <w:rsid w:val="06AC0227"/>
    <w:rsid w:val="06B353A6"/>
    <w:rsid w:val="06CAA378"/>
    <w:rsid w:val="06CDCBAA"/>
    <w:rsid w:val="06DDB110"/>
    <w:rsid w:val="06E6AE80"/>
    <w:rsid w:val="06F2FF68"/>
    <w:rsid w:val="06FD3D28"/>
    <w:rsid w:val="07076A6E"/>
    <w:rsid w:val="070A79AA"/>
    <w:rsid w:val="0724C669"/>
    <w:rsid w:val="07256F3A"/>
    <w:rsid w:val="072653BC"/>
    <w:rsid w:val="072B383B"/>
    <w:rsid w:val="07464008"/>
    <w:rsid w:val="074ECF0D"/>
    <w:rsid w:val="07700949"/>
    <w:rsid w:val="07728102"/>
    <w:rsid w:val="0777E02C"/>
    <w:rsid w:val="07AB732E"/>
    <w:rsid w:val="07DFB216"/>
    <w:rsid w:val="07F0BEBA"/>
    <w:rsid w:val="08435925"/>
    <w:rsid w:val="088A6145"/>
    <w:rsid w:val="08A50F58"/>
    <w:rsid w:val="08C0F93E"/>
    <w:rsid w:val="08CEA53F"/>
    <w:rsid w:val="08E3237D"/>
    <w:rsid w:val="08EE9D4C"/>
    <w:rsid w:val="08FE9F23"/>
    <w:rsid w:val="0918DC78"/>
    <w:rsid w:val="092FF0FF"/>
    <w:rsid w:val="093F4FA1"/>
    <w:rsid w:val="095057A8"/>
    <w:rsid w:val="09572BB7"/>
    <w:rsid w:val="097050BE"/>
    <w:rsid w:val="0980D79D"/>
    <w:rsid w:val="09933348"/>
    <w:rsid w:val="099B7490"/>
    <w:rsid w:val="099F5322"/>
    <w:rsid w:val="0A095E6F"/>
    <w:rsid w:val="0A0C50EB"/>
    <w:rsid w:val="0A0D84B3"/>
    <w:rsid w:val="0A2BBB04"/>
    <w:rsid w:val="0A2DA935"/>
    <w:rsid w:val="0A2E533E"/>
    <w:rsid w:val="0A344F83"/>
    <w:rsid w:val="0A4726E6"/>
    <w:rsid w:val="0A60C1FD"/>
    <w:rsid w:val="0A6B2195"/>
    <w:rsid w:val="0A84D8F2"/>
    <w:rsid w:val="0A9B42C6"/>
    <w:rsid w:val="0A9EC017"/>
    <w:rsid w:val="0ACF89F6"/>
    <w:rsid w:val="0ADAF791"/>
    <w:rsid w:val="0AE9C265"/>
    <w:rsid w:val="0B01F0ED"/>
    <w:rsid w:val="0B1D1037"/>
    <w:rsid w:val="0B32AF71"/>
    <w:rsid w:val="0B344965"/>
    <w:rsid w:val="0B506EB4"/>
    <w:rsid w:val="0B57A79D"/>
    <w:rsid w:val="0B5D4CB5"/>
    <w:rsid w:val="0B6F5459"/>
    <w:rsid w:val="0B71C068"/>
    <w:rsid w:val="0B810C64"/>
    <w:rsid w:val="0B9D21EC"/>
    <w:rsid w:val="0BB56FA2"/>
    <w:rsid w:val="0BC0C58E"/>
    <w:rsid w:val="0BF955CF"/>
    <w:rsid w:val="0C26E4E3"/>
    <w:rsid w:val="0C349CC0"/>
    <w:rsid w:val="0C5FB4EB"/>
    <w:rsid w:val="0C6229AC"/>
    <w:rsid w:val="0C929AEA"/>
    <w:rsid w:val="0CB318E4"/>
    <w:rsid w:val="0CC92657"/>
    <w:rsid w:val="0CE28335"/>
    <w:rsid w:val="0CE66818"/>
    <w:rsid w:val="0CE849EB"/>
    <w:rsid w:val="0CE913B2"/>
    <w:rsid w:val="0CF86172"/>
    <w:rsid w:val="0CF8C340"/>
    <w:rsid w:val="0D131A45"/>
    <w:rsid w:val="0D13C747"/>
    <w:rsid w:val="0D6614A1"/>
    <w:rsid w:val="0D67A065"/>
    <w:rsid w:val="0DAB6831"/>
    <w:rsid w:val="0DD2009C"/>
    <w:rsid w:val="0E10CAE3"/>
    <w:rsid w:val="0E43BDAB"/>
    <w:rsid w:val="0E47CE62"/>
    <w:rsid w:val="0E55760E"/>
    <w:rsid w:val="0E799F15"/>
    <w:rsid w:val="0E81B42A"/>
    <w:rsid w:val="0E95AC6F"/>
    <w:rsid w:val="0EA65CBC"/>
    <w:rsid w:val="0EB7C698"/>
    <w:rsid w:val="0ECD8CB6"/>
    <w:rsid w:val="0ED5C7D7"/>
    <w:rsid w:val="0F06EDE3"/>
    <w:rsid w:val="0F213B86"/>
    <w:rsid w:val="0F39BA45"/>
    <w:rsid w:val="0F59249C"/>
    <w:rsid w:val="0FCB5DF0"/>
    <w:rsid w:val="0FD00948"/>
    <w:rsid w:val="0FD8F9D9"/>
    <w:rsid w:val="0FDD928D"/>
    <w:rsid w:val="0FF64A7F"/>
    <w:rsid w:val="0FF69159"/>
    <w:rsid w:val="100038F6"/>
    <w:rsid w:val="1037A3BF"/>
    <w:rsid w:val="104FBCBF"/>
    <w:rsid w:val="1056C8F9"/>
    <w:rsid w:val="106A41D3"/>
    <w:rsid w:val="106B0682"/>
    <w:rsid w:val="10894BD7"/>
    <w:rsid w:val="109F75DA"/>
    <w:rsid w:val="10AB89EB"/>
    <w:rsid w:val="10B799F2"/>
    <w:rsid w:val="10CEE121"/>
    <w:rsid w:val="11168F64"/>
    <w:rsid w:val="113C622F"/>
    <w:rsid w:val="1162B40A"/>
    <w:rsid w:val="1184A3FC"/>
    <w:rsid w:val="11906CC2"/>
    <w:rsid w:val="11EEAF74"/>
    <w:rsid w:val="11FB73E6"/>
    <w:rsid w:val="121F5BAA"/>
    <w:rsid w:val="1222DAEE"/>
    <w:rsid w:val="12743457"/>
    <w:rsid w:val="12889B77"/>
    <w:rsid w:val="12906D8E"/>
    <w:rsid w:val="12A59E21"/>
    <w:rsid w:val="12AE64F0"/>
    <w:rsid w:val="12BDB9E1"/>
    <w:rsid w:val="12D50E93"/>
    <w:rsid w:val="1309FD6C"/>
    <w:rsid w:val="13224349"/>
    <w:rsid w:val="1346EB0E"/>
    <w:rsid w:val="13679461"/>
    <w:rsid w:val="1368D92B"/>
    <w:rsid w:val="137D7B4B"/>
    <w:rsid w:val="1397F564"/>
    <w:rsid w:val="139C8B6B"/>
    <w:rsid w:val="13A5A4FC"/>
    <w:rsid w:val="13B5EFF9"/>
    <w:rsid w:val="13CD6DBF"/>
    <w:rsid w:val="1424FA33"/>
    <w:rsid w:val="1428668D"/>
    <w:rsid w:val="14290078"/>
    <w:rsid w:val="1440B508"/>
    <w:rsid w:val="14490C95"/>
    <w:rsid w:val="146C308E"/>
    <w:rsid w:val="147D6292"/>
    <w:rsid w:val="14A189C5"/>
    <w:rsid w:val="14A7DAE0"/>
    <w:rsid w:val="14B55C03"/>
    <w:rsid w:val="14CD297F"/>
    <w:rsid w:val="14D4BCD0"/>
    <w:rsid w:val="14E036CF"/>
    <w:rsid w:val="14E9FF31"/>
    <w:rsid w:val="15136D42"/>
    <w:rsid w:val="1527CD67"/>
    <w:rsid w:val="154CBA1E"/>
    <w:rsid w:val="15564424"/>
    <w:rsid w:val="15592288"/>
    <w:rsid w:val="157FD836"/>
    <w:rsid w:val="15A2FD0D"/>
    <w:rsid w:val="15A3D614"/>
    <w:rsid w:val="15C28179"/>
    <w:rsid w:val="15D0A58D"/>
    <w:rsid w:val="16082C8F"/>
    <w:rsid w:val="16295842"/>
    <w:rsid w:val="16306133"/>
    <w:rsid w:val="163199C1"/>
    <w:rsid w:val="163C78E3"/>
    <w:rsid w:val="16405F08"/>
    <w:rsid w:val="166AFC8B"/>
    <w:rsid w:val="166CFAF9"/>
    <w:rsid w:val="168006F2"/>
    <w:rsid w:val="1682D967"/>
    <w:rsid w:val="168A7254"/>
    <w:rsid w:val="1693FC98"/>
    <w:rsid w:val="16AF8CB9"/>
    <w:rsid w:val="16DB0E68"/>
    <w:rsid w:val="16E2A920"/>
    <w:rsid w:val="16E4A8B5"/>
    <w:rsid w:val="16E90457"/>
    <w:rsid w:val="16F588DF"/>
    <w:rsid w:val="16FD5590"/>
    <w:rsid w:val="17120A1A"/>
    <w:rsid w:val="171EB224"/>
    <w:rsid w:val="17313C67"/>
    <w:rsid w:val="17391282"/>
    <w:rsid w:val="1745D08D"/>
    <w:rsid w:val="176063D8"/>
    <w:rsid w:val="176ED317"/>
    <w:rsid w:val="177F1775"/>
    <w:rsid w:val="178CC893"/>
    <w:rsid w:val="179364BA"/>
    <w:rsid w:val="179E414E"/>
    <w:rsid w:val="17B0C586"/>
    <w:rsid w:val="17C95E0D"/>
    <w:rsid w:val="17DCE341"/>
    <w:rsid w:val="17ED8905"/>
    <w:rsid w:val="17F905D2"/>
    <w:rsid w:val="18056781"/>
    <w:rsid w:val="1807860E"/>
    <w:rsid w:val="1810DEF7"/>
    <w:rsid w:val="18112C98"/>
    <w:rsid w:val="18326BC2"/>
    <w:rsid w:val="1833F9CB"/>
    <w:rsid w:val="1840C54E"/>
    <w:rsid w:val="18644086"/>
    <w:rsid w:val="1875B3B8"/>
    <w:rsid w:val="189A7F8C"/>
    <w:rsid w:val="18A1D37A"/>
    <w:rsid w:val="18B84FB6"/>
    <w:rsid w:val="18BE464F"/>
    <w:rsid w:val="18CB20CF"/>
    <w:rsid w:val="1906F489"/>
    <w:rsid w:val="19194934"/>
    <w:rsid w:val="192A7605"/>
    <w:rsid w:val="1930D745"/>
    <w:rsid w:val="193E03B6"/>
    <w:rsid w:val="197B8734"/>
    <w:rsid w:val="198BBD5F"/>
    <w:rsid w:val="198FEDAA"/>
    <w:rsid w:val="19A48CE5"/>
    <w:rsid w:val="19B69275"/>
    <w:rsid w:val="19FD6345"/>
    <w:rsid w:val="1A10EC3D"/>
    <w:rsid w:val="1A3F1532"/>
    <w:rsid w:val="1A54CC96"/>
    <w:rsid w:val="1A5F5E9D"/>
    <w:rsid w:val="1A6CD77D"/>
    <w:rsid w:val="1A7F0D80"/>
    <w:rsid w:val="1A83D747"/>
    <w:rsid w:val="1A83F986"/>
    <w:rsid w:val="1A89AD37"/>
    <w:rsid w:val="1A9C95DA"/>
    <w:rsid w:val="1B193C02"/>
    <w:rsid w:val="1B265FD4"/>
    <w:rsid w:val="1B38036C"/>
    <w:rsid w:val="1B49C156"/>
    <w:rsid w:val="1B4B052B"/>
    <w:rsid w:val="1B8B22D5"/>
    <w:rsid w:val="1B983020"/>
    <w:rsid w:val="1BA0E427"/>
    <w:rsid w:val="1BA8D025"/>
    <w:rsid w:val="1BAFBD3F"/>
    <w:rsid w:val="1BC7E240"/>
    <w:rsid w:val="1BEFFE63"/>
    <w:rsid w:val="1C00874A"/>
    <w:rsid w:val="1C3BAF8E"/>
    <w:rsid w:val="1C43E7A3"/>
    <w:rsid w:val="1C78BBB4"/>
    <w:rsid w:val="1C85FC99"/>
    <w:rsid w:val="1C9F0625"/>
    <w:rsid w:val="1CA8DC3A"/>
    <w:rsid w:val="1CABB8E0"/>
    <w:rsid w:val="1CD0A9AC"/>
    <w:rsid w:val="1CE174C4"/>
    <w:rsid w:val="1CED49B3"/>
    <w:rsid w:val="1CF4FEB9"/>
    <w:rsid w:val="1D29E7C8"/>
    <w:rsid w:val="1D48F216"/>
    <w:rsid w:val="1D598283"/>
    <w:rsid w:val="1D612C16"/>
    <w:rsid w:val="1D63E71A"/>
    <w:rsid w:val="1D70FF04"/>
    <w:rsid w:val="1D8CB7EB"/>
    <w:rsid w:val="1D9A34BE"/>
    <w:rsid w:val="1DDCACA4"/>
    <w:rsid w:val="1DE60BFC"/>
    <w:rsid w:val="1DF39900"/>
    <w:rsid w:val="1DF5A0D2"/>
    <w:rsid w:val="1DFA6119"/>
    <w:rsid w:val="1E116431"/>
    <w:rsid w:val="1E1CD39B"/>
    <w:rsid w:val="1E3AF124"/>
    <w:rsid w:val="1E6BE73E"/>
    <w:rsid w:val="1E7423ED"/>
    <w:rsid w:val="1E853F8F"/>
    <w:rsid w:val="1E85EB50"/>
    <w:rsid w:val="1E86D5C5"/>
    <w:rsid w:val="1E924472"/>
    <w:rsid w:val="1EA1D4DF"/>
    <w:rsid w:val="1EAA69F9"/>
    <w:rsid w:val="1EBC50F2"/>
    <w:rsid w:val="1EC54172"/>
    <w:rsid w:val="1ECBC32F"/>
    <w:rsid w:val="1EEAE9FF"/>
    <w:rsid w:val="1F31128A"/>
    <w:rsid w:val="1F4CBE8D"/>
    <w:rsid w:val="1F4F3E2E"/>
    <w:rsid w:val="1F85A4DD"/>
    <w:rsid w:val="1FBECD5B"/>
    <w:rsid w:val="1FCD67B5"/>
    <w:rsid w:val="1FD8631E"/>
    <w:rsid w:val="1FDB78BD"/>
    <w:rsid w:val="1FF0A480"/>
    <w:rsid w:val="1FF9EDB8"/>
    <w:rsid w:val="2017D954"/>
    <w:rsid w:val="201C5191"/>
    <w:rsid w:val="203A3FCC"/>
    <w:rsid w:val="203ED12C"/>
    <w:rsid w:val="204F7D21"/>
    <w:rsid w:val="20572C97"/>
    <w:rsid w:val="206B4278"/>
    <w:rsid w:val="206CA469"/>
    <w:rsid w:val="209CEC96"/>
    <w:rsid w:val="20AD718A"/>
    <w:rsid w:val="20ADBDB5"/>
    <w:rsid w:val="20B26D27"/>
    <w:rsid w:val="20CC291E"/>
    <w:rsid w:val="20CD456B"/>
    <w:rsid w:val="20D7F732"/>
    <w:rsid w:val="20E48BB0"/>
    <w:rsid w:val="20E50202"/>
    <w:rsid w:val="20FC6A3A"/>
    <w:rsid w:val="2128447F"/>
    <w:rsid w:val="21480010"/>
    <w:rsid w:val="2149AC07"/>
    <w:rsid w:val="21514542"/>
    <w:rsid w:val="21540747"/>
    <w:rsid w:val="2198942E"/>
    <w:rsid w:val="219BAD00"/>
    <w:rsid w:val="219F18CB"/>
    <w:rsid w:val="21BB8E2A"/>
    <w:rsid w:val="21CCCD8C"/>
    <w:rsid w:val="22295972"/>
    <w:rsid w:val="222F3750"/>
    <w:rsid w:val="22514881"/>
    <w:rsid w:val="2252B1C9"/>
    <w:rsid w:val="22598ED4"/>
    <w:rsid w:val="22660161"/>
    <w:rsid w:val="22822B1E"/>
    <w:rsid w:val="228BAC6D"/>
    <w:rsid w:val="228E941E"/>
    <w:rsid w:val="229D35CB"/>
    <w:rsid w:val="22A00D8F"/>
    <w:rsid w:val="22A7CB58"/>
    <w:rsid w:val="22C708AC"/>
    <w:rsid w:val="230638D4"/>
    <w:rsid w:val="23209023"/>
    <w:rsid w:val="2333633F"/>
    <w:rsid w:val="233602E7"/>
    <w:rsid w:val="23374CFA"/>
    <w:rsid w:val="233AB76E"/>
    <w:rsid w:val="23421EF3"/>
    <w:rsid w:val="23444E05"/>
    <w:rsid w:val="23526F0F"/>
    <w:rsid w:val="235D924A"/>
    <w:rsid w:val="235D9C77"/>
    <w:rsid w:val="236BBA3B"/>
    <w:rsid w:val="23772159"/>
    <w:rsid w:val="237ACB4B"/>
    <w:rsid w:val="23827DA8"/>
    <w:rsid w:val="2386A8D6"/>
    <w:rsid w:val="23AA668C"/>
    <w:rsid w:val="23B6ECF2"/>
    <w:rsid w:val="23C06ACA"/>
    <w:rsid w:val="23C091C8"/>
    <w:rsid w:val="23EF4E22"/>
    <w:rsid w:val="23EFA2B5"/>
    <w:rsid w:val="23F6DDD3"/>
    <w:rsid w:val="23FC70FB"/>
    <w:rsid w:val="241CD3FF"/>
    <w:rsid w:val="2426E411"/>
    <w:rsid w:val="24295C12"/>
    <w:rsid w:val="2433479F"/>
    <w:rsid w:val="24352587"/>
    <w:rsid w:val="243A2D2B"/>
    <w:rsid w:val="243EDBEF"/>
    <w:rsid w:val="244617A1"/>
    <w:rsid w:val="247CBDEA"/>
    <w:rsid w:val="24A865FB"/>
    <w:rsid w:val="24B3D852"/>
    <w:rsid w:val="24CBC412"/>
    <w:rsid w:val="24E7FFEB"/>
    <w:rsid w:val="25397FCE"/>
    <w:rsid w:val="253C3D0F"/>
    <w:rsid w:val="2570AC73"/>
    <w:rsid w:val="258994D1"/>
    <w:rsid w:val="259C5FAE"/>
    <w:rsid w:val="25C165AC"/>
    <w:rsid w:val="25CCC86B"/>
    <w:rsid w:val="260CEE04"/>
    <w:rsid w:val="262074AC"/>
    <w:rsid w:val="2620862C"/>
    <w:rsid w:val="263FF33C"/>
    <w:rsid w:val="26498BFE"/>
    <w:rsid w:val="2649C32F"/>
    <w:rsid w:val="264C710D"/>
    <w:rsid w:val="266C39AF"/>
    <w:rsid w:val="266F930C"/>
    <w:rsid w:val="26BA8527"/>
    <w:rsid w:val="26BF7BBA"/>
    <w:rsid w:val="26C5A1DE"/>
    <w:rsid w:val="26EBA84F"/>
    <w:rsid w:val="2712E15D"/>
    <w:rsid w:val="27204FC9"/>
    <w:rsid w:val="2738B9FE"/>
    <w:rsid w:val="2742E8C9"/>
    <w:rsid w:val="2743B04D"/>
    <w:rsid w:val="2743D9D4"/>
    <w:rsid w:val="276530F0"/>
    <w:rsid w:val="27978791"/>
    <w:rsid w:val="27AF7500"/>
    <w:rsid w:val="27C0AA60"/>
    <w:rsid w:val="27C7A5A1"/>
    <w:rsid w:val="27C9E184"/>
    <w:rsid w:val="2805D8B1"/>
    <w:rsid w:val="2807D9B0"/>
    <w:rsid w:val="2813902F"/>
    <w:rsid w:val="282050EF"/>
    <w:rsid w:val="282249CF"/>
    <w:rsid w:val="2837DF8D"/>
    <w:rsid w:val="283A358F"/>
    <w:rsid w:val="284868E8"/>
    <w:rsid w:val="284D23BA"/>
    <w:rsid w:val="2853749C"/>
    <w:rsid w:val="287320A3"/>
    <w:rsid w:val="2892186A"/>
    <w:rsid w:val="28A9780F"/>
    <w:rsid w:val="28BE228F"/>
    <w:rsid w:val="28C45799"/>
    <w:rsid w:val="28D3623E"/>
    <w:rsid w:val="28E77976"/>
    <w:rsid w:val="290C5330"/>
    <w:rsid w:val="290F47E5"/>
    <w:rsid w:val="2916F4E0"/>
    <w:rsid w:val="2930B3D6"/>
    <w:rsid w:val="293F97F8"/>
    <w:rsid w:val="294A792D"/>
    <w:rsid w:val="29568CCC"/>
    <w:rsid w:val="2963FFC2"/>
    <w:rsid w:val="29B57696"/>
    <w:rsid w:val="29C1F1BE"/>
    <w:rsid w:val="29C3C005"/>
    <w:rsid w:val="29D57BE6"/>
    <w:rsid w:val="29F4296E"/>
    <w:rsid w:val="29FD9940"/>
    <w:rsid w:val="2A093D67"/>
    <w:rsid w:val="2A1D1916"/>
    <w:rsid w:val="2A39197D"/>
    <w:rsid w:val="2A7AF560"/>
    <w:rsid w:val="2A8B222E"/>
    <w:rsid w:val="2A9B014B"/>
    <w:rsid w:val="2AB99159"/>
    <w:rsid w:val="2AE0EB74"/>
    <w:rsid w:val="2AF4B1D2"/>
    <w:rsid w:val="2B0F0CD0"/>
    <w:rsid w:val="2B1B4D77"/>
    <w:rsid w:val="2B30F971"/>
    <w:rsid w:val="2B3A617E"/>
    <w:rsid w:val="2B6C4E70"/>
    <w:rsid w:val="2B6D3FFE"/>
    <w:rsid w:val="2B73201B"/>
    <w:rsid w:val="2B79EF44"/>
    <w:rsid w:val="2B8E6EF8"/>
    <w:rsid w:val="2BA6342E"/>
    <w:rsid w:val="2BE6E83F"/>
    <w:rsid w:val="2C085CFC"/>
    <w:rsid w:val="2C147CB1"/>
    <w:rsid w:val="2C1C3A9C"/>
    <w:rsid w:val="2C229A99"/>
    <w:rsid w:val="2C22B581"/>
    <w:rsid w:val="2C2497CB"/>
    <w:rsid w:val="2C357C92"/>
    <w:rsid w:val="2C37F1C4"/>
    <w:rsid w:val="2C45F622"/>
    <w:rsid w:val="2C5A00E2"/>
    <w:rsid w:val="2C7648B1"/>
    <w:rsid w:val="2C7B51F4"/>
    <w:rsid w:val="2C844DEA"/>
    <w:rsid w:val="2CA5FF48"/>
    <w:rsid w:val="2CB5F84F"/>
    <w:rsid w:val="2CBB510C"/>
    <w:rsid w:val="2CBD3012"/>
    <w:rsid w:val="2CC4231D"/>
    <w:rsid w:val="2CCFF595"/>
    <w:rsid w:val="2CD59980"/>
    <w:rsid w:val="2CDE8CB3"/>
    <w:rsid w:val="2D092326"/>
    <w:rsid w:val="2D094C10"/>
    <w:rsid w:val="2D3C1DAC"/>
    <w:rsid w:val="2D3DA046"/>
    <w:rsid w:val="2D5B10CE"/>
    <w:rsid w:val="2D763E0B"/>
    <w:rsid w:val="2D8BB08B"/>
    <w:rsid w:val="2DA64A1E"/>
    <w:rsid w:val="2DB94EE3"/>
    <w:rsid w:val="2DD737F5"/>
    <w:rsid w:val="2DE40205"/>
    <w:rsid w:val="2DFE4DF5"/>
    <w:rsid w:val="2DFF5A77"/>
    <w:rsid w:val="2E3DEA28"/>
    <w:rsid w:val="2E4C613A"/>
    <w:rsid w:val="2E54100C"/>
    <w:rsid w:val="2E770CFC"/>
    <w:rsid w:val="2E940435"/>
    <w:rsid w:val="2EF18EB2"/>
    <w:rsid w:val="2EF52C3C"/>
    <w:rsid w:val="2F176B60"/>
    <w:rsid w:val="2F1B1360"/>
    <w:rsid w:val="2F556504"/>
    <w:rsid w:val="2F56A922"/>
    <w:rsid w:val="2F695A84"/>
    <w:rsid w:val="2F76EA9C"/>
    <w:rsid w:val="2F9829E5"/>
    <w:rsid w:val="2F9F2659"/>
    <w:rsid w:val="2FA3105C"/>
    <w:rsid w:val="2FC4F0FF"/>
    <w:rsid w:val="300B83DB"/>
    <w:rsid w:val="3013DF18"/>
    <w:rsid w:val="3028F452"/>
    <w:rsid w:val="304CC33A"/>
    <w:rsid w:val="30505430"/>
    <w:rsid w:val="306ACF34"/>
    <w:rsid w:val="307C9D3F"/>
    <w:rsid w:val="308AA49F"/>
    <w:rsid w:val="308B8C49"/>
    <w:rsid w:val="30CD888B"/>
    <w:rsid w:val="30E3E7BC"/>
    <w:rsid w:val="30FB3EE8"/>
    <w:rsid w:val="311D78F2"/>
    <w:rsid w:val="312BA2D5"/>
    <w:rsid w:val="31562ABD"/>
    <w:rsid w:val="31594CB5"/>
    <w:rsid w:val="315E7AC9"/>
    <w:rsid w:val="317E953B"/>
    <w:rsid w:val="317F5571"/>
    <w:rsid w:val="319BAFED"/>
    <w:rsid w:val="31B04793"/>
    <w:rsid w:val="31B0CABC"/>
    <w:rsid w:val="31B0F21A"/>
    <w:rsid w:val="31BBCF74"/>
    <w:rsid w:val="31C363FF"/>
    <w:rsid w:val="31D37B48"/>
    <w:rsid w:val="31FD9ABB"/>
    <w:rsid w:val="322DEE8C"/>
    <w:rsid w:val="323B3AF7"/>
    <w:rsid w:val="3259DD5A"/>
    <w:rsid w:val="326D943D"/>
    <w:rsid w:val="3278D1F7"/>
    <w:rsid w:val="3290A93B"/>
    <w:rsid w:val="3290EC95"/>
    <w:rsid w:val="32A59D02"/>
    <w:rsid w:val="32A969A8"/>
    <w:rsid w:val="32ADA7D7"/>
    <w:rsid w:val="32EC3A7F"/>
    <w:rsid w:val="32F94D2C"/>
    <w:rsid w:val="330EF93E"/>
    <w:rsid w:val="333C4653"/>
    <w:rsid w:val="3343EBBB"/>
    <w:rsid w:val="33528055"/>
    <w:rsid w:val="3357E2A4"/>
    <w:rsid w:val="33608720"/>
    <w:rsid w:val="337C341B"/>
    <w:rsid w:val="33907A83"/>
    <w:rsid w:val="3397E556"/>
    <w:rsid w:val="33A306C3"/>
    <w:rsid w:val="33D16561"/>
    <w:rsid w:val="340B9820"/>
    <w:rsid w:val="3418BE35"/>
    <w:rsid w:val="346350AD"/>
    <w:rsid w:val="34700E20"/>
    <w:rsid w:val="347A2EA6"/>
    <w:rsid w:val="34A518B4"/>
    <w:rsid w:val="34A7AAC5"/>
    <w:rsid w:val="34B4F56B"/>
    <w:rsid w:val="35417063"/>
    <w:rsid w:val="355034E3"/>
    <w:rsid w:val="3565F195"/>
    <w:rsid w:val="357C0D3A"/>
    <w:rsid w:val="3581F660"/>
    <w:rsid w:val="35AF88A1"/>
    <w:rsid w:val="35AFD1B9"/>
    <w:rsid w:val="35CF05EC"/>
    <w:rsid w:val="35F1F6AC"/>
    <w:rsid w:val="35FE05D2"/>
    <w:rsid w:val="360240B5"/>
    <w:rsid w:val="361950F6"/>
    <w:rsid w:val="367C769E"/>
    <w:rsid w:val="3689AED1"/>
    <w:rsid w:val="3691816B"/>
    <w:rsid w:val="36CAA511"/>
    <w:rsid w:val="36E873C8"/>
    <w:rsid w:val="36ED4688"/>
    <w:rsid w:val="36F3611D"/>
    <w:rsid w:val="37189CFB"/>
    <w:rsid w:val="3719AB71"/>
    <w:rsid w:val="371F54BB"/>
    <w:rsid w:val="37605077"/>
    <w:rsid w:val="3773D9E4"/>
    <w:rsid w:val="377A32EB"/>
    <w:rsid w:val="37805B1E"/>
    <w:rsid w:val="37867A0A"/>
    <w:rsid w:val="37940C64"/>
    <w:rsid w:val="37B7A568"/>
    <w:rsid w:val="37B7D93E"/>
    <w:rsid w:val="37BE8DDF"/>
    <w:rsid w:val="37BFCCB6"/>
    <w:rsid w:val="37C3BDF6"/>
    <w:rsid w:val="37E3A889"/>
    <w:rsid w:val="37EA5FD7"/>
    <w:rsid w:val="37EAED72"/>
    <w:rsid w:val="37EE0A8E"/>
    <w:rsid w:val="37EFE5CE"/>
    <w:rsid w:val="3809D25C"/>
    <w:rsid w:val="3815FBF8"/>
    <w:rsid w:val="38185ABD"/>
    <w:rsid w:val="381A4BE4"/>
    <w:rsid w:val="383C5AB7"/>
    <w:rsid w:val="3868258D"/>
    <w:rsid w:val="388F85F4"/>
    <w:rsid w:val="389C92D1"/>
    <w:rsid w:val="38A24CB7"/>
    <w:rsid w:val="38A5A743"/>
    <w:rsid w:val="38B4F724"/>
    <w:rsid w:val="38BC117A"/>
    <w:rsid w:val="38CDB7A3"/>
    <w:rsid w:val="38D3D488"/>
    <w:rsid w:val="38EC4C1C"/>
    <w:rsid w:val="3911935B"/>
    <w:rsid w:val="392B2B60"/>
    <w:rsid w:val="392C0366"/>
    <w:rsid w:val="3952C19F"/>
    <w:rsid w:val="396A021C"/>
    <w:rsid w:val="397008D0"/>
    <w:rsid w:val="397AD343"/>
    <w:rsid w:val="398DBD19"/>
    <w:rsid w:val="3996363C"/>
    <w:rsid w:val="39A88FFE"/>
    <w:rsid w:val="39ACD7B3"/>
    <w:rsid w:val="39C0340C"/>
    <w:rsid w:val="39C1FD27"/>
    <w:rsid w:val="39DD2BF2"/>
    <w:rsid w:val="39F06709"/>
    <w:rsid w:val="3A0CCCEE"/>
    <w:rsid w:val="3A265EFF"/>
    <w:rsid w:val="3A4B98E7"/>
    <w:rsid w:val="3A78451B"/>
    <w:rsid w:val="3A8AC8C1"/>
    <w:rsid w:val="3AA2823B"/>
    <w:rsid w:val="3AA2E160"/>
    <w:rsid w:val="3AC231A1"/>
    <w:rsid w:val="3AFCF633"/>
    <w:rsid w:val="3AFDF5E1"/>
    <w:rsid w:val="3AFFC1AE"/>
    <w:rsid w:val="3B3C72EE"/>
    <w:rsid w:val="3B67628A"/>
    <w:rsid w:val="3BA212A0"/>
    <w:rsid w:val="3BB8D138"/>
    <w:rsid w:val="3BBBB010"/>
    <w:rsid w:val="3BC643BA"/>
    <w:rsid w:val="3BCB7E7E"/>
    <w:rsid w:val="3BD07893"/>
    <w:rsid w:val="3BE87470"/>
    <w:rsid w:val="3C4501ED"/>
    <w:rsid w:val="3C45461F"/>
    <w:rsid w:val="3C486367"/>
    <w:rsid w:val="3C507F6B"/>
    <w:rsid w:val="3C520F1D"/>
    <w:rsid w:val="3C678143"/>
    <w:rsid w:val="3C6AF066"/>
    <w:rsid w:val="3CA25F35"/>
    <w:rsid w:val="3CA2F4AD"/>
    <w:rsid w:val="3CB26660"/>
    <w:rsid w:val="3CD780E4"/>
    <w:rsid w:val="3CD80AD9"/>
    <w:rsid w:val="3CD81EBD"/>
    <w:rsid w:val="3D01F96A"/>
    <w:rsid w:val="3D22AE66"/>
    <w:rsid w:val="3D575423"/>
    <w:rsid w:val="3D58A9F1"/>
    <w:rsid w:val="3D6E9D6A"/>
    <w:rsid w:val="3D7B4589"/>
    <w:rsid w:val="3D854D6B"/>
    <w:rsid w:val="3D9C0EA9"/>
    <w:rsid w:val="3D9F8963"/>
    <w:rsid w:val="3DAD47F2"/>
    <w:rsid w:val="3DB79E1E"/>
    <w:rsid w:val="3DD24BC3"/>
    <w:rsid w:val="3DF94885"/>
    <w:rsid w:val="3E1DDF38"/>
    <w:rsid w:val="3E3876EE"/>
    <w:rsid w:val="3E5A7614"/>
    <w:rsid w:val="3E798A69"/>
    <w:rsid w:val="3E911F53"/>
    <w:rsid w:val="3E930423"/>
    <w:rsid w:val="3ECACCF9"/>
    <w:rsid w:val="3EDC6E94"/>
    <w:rsid w:val="3EF4B859"/>
    <w:rsid w:val="3F142260"/>
    <w:rsid w:val="3F2ECE82"/>
    <w:rsid w:val="3F337535"/>
    <w:rsid w:val="3F5055D6"/>
    <w:rsid w:val="3F5A5C78"/>
    <w:rsid w:val="3F79A560"/>
    <w:rsid w:val="3F8166F0"/>
    <w:rsid w:val="3F8B4982"/>
    <w:rsid w:val="3F94B924"/>
    <w:rsid w:val="3F9DEFC2"/>
    <w:rsid w:val="3FAF0EC3"/>
    <w:rsid w:val="3FB500E9"/>
    <w:rsid w:val="3FB91402"/>
    <w:rsid w:val="3FC352D3"/>
    <w:rsid w:val="3FC83812"/>
    <w:rsid w:val="3FC8AECE"/>
    <w:rsid w:val="40288B16"/>
    <w:rsid w:val="403938E4"/>
    <w:rsid w:val="40443577"/>
    <w:rsid w:val="4067BC73"/>
    <w:rsid w:val="4070EC30"/>
    <w:rsid w:val="40919BC0"/>
    <w:rsid w:val="40AA5A6A"/>
    <w:rsid w:val="40CE0F56"/>
    <w:rsid w:val="40F30669"/>
    <w:rsid w:val="40F42AF1"/>
    <w:rsid w:val="41060986"/>
    <w:rsid w:val="411C5EDC"/>
    <w:rsid w:val="41279EFA"/>
    <w:rsid w:val="4127AC1F"/>
    <w:rsid w:val="4145EA90"/>
    <w:rsid w:val="41590B60"/>
    <w:rsid w:val="41821254"/>
    <w:rsid w:val="4182FD13"/>
    <w:rsid w:val="4186EE6A"/>
    <w:rsid w:val="419B6A93"/>
    <w:rsid w:val="419E013B"/>
    <w:rsid w:val="41A760C0"/>
    <w:rsid w:val="41CCFB3C"/>
    <w:rsid w:val="41D142F3"/>
    <w:rsid w:val="41F2341D"/>
    <w:rsid w:val="422A3B68"/>
    <w:rsid w:val="424C10CA"/>
    <w:rsid w:val="4252674D"/>
    <w:rsid w:val="4269A12E"/>
    <w:rsid w:val="42703A80"/>
    <w:rsid w:val="4279ED0B"/>
    <w:rsid w:val="4280A412"/>
    <w:rsid w:val="428697FB"/>
    <w:rsid w:val="4293BAFB"/>
    <w:rsid w:val="42ACB4D5"/>
    <w:rsid w:val="42BF199D"/>
    <w:rsid w:val="42CBC156"/>
    <w:rsid w:val="42D2661C"/>
    <w:rsid w:val="42D7758F"/>
    <w:rsid w:val="42DA9D81"/>
    <w:rsid w:val="42E16A5F"/>
    <w:rsid w:val="42E19B8A"/>
    <w:rsid w:val="42EC9B92"/>
    <w:rsid w:val="432311C8"/>
    <w:rsid w:val="43383CD8"/>
    <w:rsid w:val="43516C4B"/>
    <w:rsid w:val="4354B336"/>
    <w:rsid w:val="435C0C48"/>
    <w:rsid w:val="4369EA12"/>
    <w:rsid w:val="437EF097"/>
    <w:rsid w:val="438580A5"/>
    <w:rsid w:val="4397D443"/>
    <w:rsid w:val="43B86E33"/>
    <w:rsid w:val="43D48640"/>
    <w:rsid w:val="43F07402"/>
    <w:rsid w:val="442BC336"/>
    <w:rsid w:val="44357F84"/>
    <w:rsid w:val="4452FE4C"/>
    <w:rsid w:val="44559C45"/>
    <w:rsid w:val="44571D2F"/>
    <w:rsid w:val="44B5EC19"/>
    <w:rsid w:val="44BE42C2"/>
    <w:rsid w:val="44BFAC79"/>
    <w:rsid w:val="44F247DE"/>
    <w:rsid w:val="4536BE77"/>
    <w:rsid w:val="453BFC03"/>
    <w:rsid w:val="45431855"/>
    <w:rsid w:val="4543F018"/>
    <w:rsid w:val="45622111"/>
    <w:rsid w:val="4565431D"/>
    <w:rsid w:val="457671E9"/>
    <w:rsid w:val="458800CD"/>
    <w:rsid w:val="45B2499D"/>
    <w:rsid w:val="45B7C554"/>
    <w:rsid w:val="45CA8C07"/>
    <w:rsid w:val="45CB4495"/>
    <w:rsid w:val="45F5D91B"/>
    <w:rsid w:val="45F6E962"/>
    <w:rsid w:val="4609B189"/>
    <w:rsid w:val="46589701"/>
    <w:rsid w:val="467C3510"/>
    <w:rsid w:val="46A150B8"/>
    <w:rsid w:val="46A90447"/>
    <w:rsid w:val="46B768DB"/>
    <w:rsid w:val="46D8D4BB"/>
    <w:rsid w:val="46E1B08E"/>
    <w:rsid w:val="46F99DF6"/>
    <w:rsid w:val="4707B530"/>
    <w:rsid w:val="471BC60D"/>
    <w:rsid w:val="471F5F24"/>
    <w:rsid w:val="4720B00E"/>
    <w:rsid w:val="4739E2F6"/>
    <w:rsid w:val="477F35C2"/>
    <w:rsid w:val="4783C030"/>
    <w:rsid w:val="479A2EA5"/>
    <w:rsid w:val="47A9FA89"/>
    <w:rsid w:val="47C5CB23"/>
    <w:rsid w:val="47E1C237"/>
    <w:rsid w:val="480C756C"/>
    <w:rsid w:val="480FC141"/>
    <w:rsid w:val="4812EFC1"/>
    <w:rsid w:val="48200435"/>
    <w:rsid w:val="482106A7"/>
    <w:rsid w:val="4821D5E5"/>
    <w:rsid w:val="4841E470"/>
    <w:rsid w:val="484F43AB"/>
    <w:rsid w:val="48510F08"/>
    <w:rsid w:val="488C40C3"/>
    <w:rsid w:val="48CA17D2"/>
    <w:rsid w:val="48CD2140"/>
    <w:rsid w:val="48D60A14"/>
    <w:rsid w:val="48EFE3E2"/>
    <w:rsid w:val="49151CF0"/>
    <w:rsid w:val="49292183"/>
    <w:rsid w:val="492EF7E8"/>
    <w:rsid w:val="492FC98F"/>
    <w:rsid w:val="493E6B89"/>
    <w:rsid w:val="494297AF"/>
    <w:rsid w:val="49462BE4"/>
    <w:rsid w:val="49572B9C"/>
    <w:rsid w:val="4964A366"/>
    <w:rsid w:val="498889BC"/>
    <w:rsid w:val="49891C45"/>
    <w:rsid w:val="49E7567D"/>
    <w:rsid w:val="4A17D36B"/>
    <w:rsid w:val="4A3BBF23"/>
    <w:rsid w:val="4A3D4F35"/>
    <w:rsid w:val="4A41B1AA"/>
    <w:rsid w:val="4A5FE645"/>
    <w:rsid w:val="4A8A58F4"/>
    <w:rsid w:val="4A94F4E7"/>
    <w:rsid w:val="4AD2554A"/>
    <w:rsid w:val="4AD2E817"/>
    <w:rsid w:val="4ADB5A14"/>
    <w:rsid w:val="4AE0B2F1"/>
    <w:rsid w:val="4AED1E0F"/>
    <w:rsid w:val="4B254CE9"/>
    <w:rsid w:val="4B2D4510"/>
    <w:rsid w:val="4B307E8B"/>
    <w:rsid w:val="4B5A52CD"/>
    <w:rsid w:val="4B80EB44"/>
    <w:rsid w:val="4B827D8A"/>
    <w:rsid w:val="4B8A3F6E"/>
    <w:rsid w:val="4B9803D2"/>
    <w:rsid w:val="4BBAFBEB"/>
    <w:rsid w:val="4C0948E5"/>
    <w:rsid w:val="4C0B802F"/>
    <w:rsid w:val="4C159D4A"/>
    <w:rsid w:val="4C27FCBC"/>
    <w:rsid w:val="4C2B042B"/>
    <w:rsid w:val="4C3830C2"/>
    <w:rsid w:val="4C446D1D"/>
    <w:rsid w:val="4C71A937"/>
    <w:rsid w:val="4C82E011"/>
    <w:rsid w:val="4CAFAE09"/>
    <w:rsid w:val="4CE1DEED"/>
    <w:rsid w:val="4CE83501"/>
    <w:rsid w:val="4CF8DBB1"/>
    <w:rsid w:val="4CFA3E76"/>
    <w:rsid w:val="4D1017CE"/>
    <w:rsid w:val="4D13273D"/>
    <w:rsid w:val="4D30750E"/>
    <w:rsid w:val="4D312384"/>
    <w:rsid w:val="4D6E0813"/>
    <w:rsid w:val="4D930B24"/>
    <w:rsid w:val="4DA05EAC"/>
    <w:rsid w:val="4DB17690"/>
    <w:rsid w:val="4DBF5C06"/>
    <w:rsid w:val="4DFBCDF4"/>
    <w:rsid w:val="4DFCEC78"/>
    <w:rsid w:val="4E000D83"/>
    <w:rsid w:val="4E049C7E"/>
    <w:rsid w:val="4E10A62E"/>
    <w:rsid w:val="4E234549"/>
    <w:rsid w:val="4E3126EF"/>
    <w:rsid w:val="4E3BDCB7"/>
    <w:rsid w:val="4E475619"/>
    <w:rsid w:val="4E5CFA9D"/>
    <w:rsid w:val="4E934F6F"/>
    <w:rsid w:val="4E961F79"/>
    <w:rsid w:val="4E9EFBE3"/>
    <w:rsid w:val="4EA4CC55"/>
    <w:rsid w:val="4EAD5E3B"/>
    <w:rsid w:val="4EB486CB"/>
    <w:rsid w:val="4EB9C291"/>
    <w:rsid w:val="4EC0D4B3"/>
    <w:rsid w:val="4EED848E"/>
    <w:rsid w:val="4EEFCA1B"/>
    <w:rsid w:val="4EF5DEFB"/>
    <w:rsid w:val="4F0B269B"/>
    <w:rsid w:val="4F0FF5C3"/>
    <w:rsid w:val="4F31BF31"/>
    <w:rsid w:val="4F4D96CA"/>
    <w:rsid w:val="4F518999"/>
    <w:rsid w:val="4F549733"/>
    <w:rsid w:val="4F59CB29"/>
    <w:rsid w:val="4F72666B"/>
    <w:rsid w:val="4F8FDE9C"/>
    <w:rsid w:val="4F9211F8"/>
    <w:rsid w:val="4F936976"/>
    <w:rsid w:val="4F9CF58A"/>
    <w:rsid w:val="4FA1743E"/>
    <w:rsid w:val="4FA723A3"/>
    <w:rsid w:val="4FBE0C48"/>
    <w:rsid w:val="4FDE0A4D"/>
    <w:rsid w:val="5001B5ED"/>
    <w:rsid w:val="500B6CA7"/>
    <w:rsid w:val="500DB233"/>
    <w:rsid w:val="5010F349"/>
    <w:rsid w:val="50244585"/>
    <w:rsid w:val="503785A8"/>
    <w:rsid w:val="50489BB4"/>
    <w:rsid w:val="505C03E0"/>
    <w:rsid w:val="50622A64"/>
    <w:rsid w:val="506B24EF"/>
    <w:rsid w:val="50701DB4"/>
    <w:rsid w:val="508770B1"/>
    <w:rsid w:val="50A705CD"/>
    <w:rsid w:val="50BCBFF5"/>
    <w:rsid w:val="50C6428A"/>
    <w:rsid w:val="50D0A511"/>
    <w:rsid w:val="51197D33"/>
    <w:rsid w:val="51297DE8"/>
    <w:rsid w:val="5178F9E9"/>
    <w:rsid w:val="51921DE3"/>
    <w:rsid w:val="51A9C982"/>
    <w:rsid w:val="51BDB3BB"/>
    <w:rsid w:val="51C6FE7D"/>
    <w:rsid w:val="51DB04B0"/>
    <w:rsid w:val="51F6CF35"/>
    <w:rsid w:val="51FE2B9F"/>
    <w:rsid w:val="5213F5E1"/>
    <w:rsid w:val="522576B4"/>
    <w:rsid w:val="524138D1"/>
    <w:rsid w:val="5265D1E6"/>
    <w:rsid w:val="5267D13E"/>
    <w:rsid w:val="5274F2F2"/>
    <w:rsid w:val="52967F83"/>
    <w:rsid w:val="52D61C30"/>
    <w:rsid w:val="52DB2A2E"/>
    <w:rsid w:val="530D02E2"/>
    <w:rsid w:val="53139CE3"/>
    <w:rsid w:val="5316E822"/>
    <w:rsid w:val="5325E0BC"/>
    <w:rsid w:val="533CA09C"/>
    <w:rsid w:val="53455B06"/>
    <w:rsid w:val="5363F535"/>
    <w:rsid w:val="536B04AB"/>
    <w:rsid w:val="5382AC79"/>
    <w:rsid w:val="5394BC1D"/>
    <w:rsid w:val="53AF8DE3"/>
    <w:rsid w:val="53B948FA"/>
    <w:rsid w:val="53E822EF"/>
    <w:rsid w:val="53F2AFD0"/>
    <w:rsid w:val="542653A3"/>
    <w:rsid w:val="5432019B"/>
    <w:rsid w:val="5438D51C"/>
    <w:rsid w:val="543ED648"/>
    <w:rsid w:val="54528ADB"/>
    <w:rsid w:val="545F8019"/>
    <w:rsid w:val="5463F47C"/>
    <w:rsid w:val="54655281"/>
    <w:rsid w:val="5470E92A"/>
    <w:rsid w:val="54749114"/>
    <w:rsid w:val="548CF599"/>
    <w:rsid w:val="5497CADB"/>
    <w:rsid w:val="54B041C8"/>
    <w:rsid w:val="54B9B077"/>
    <w:rsid w:val="54D90A12"/>
    <w:rsid w:val="54E03679"/>
    <w:rsid w:val="54E2A03F"/>
    <w:rsid w:val="54E4F2CF"/>
    <w:rsid w:val="54F5FD09"/>
    <w:rsid w:val="55587AFE"/>
    <w:rsid w:val="55628A86"/>
    <w:rsid w:val="557F4BB6"/>
    <w:rsid w:val="5597CF00"/>
    <w:rsid w:val="559E5899"/>
    <w:rsid w:val="55CDD736"/>
    <w:rsid w:val="55D80FCC"/>
    <w:rsid w:val="55DE979C"/>
    <w:rsid w:val="55E60449"/>
    <w:rsid w:val="55EDEC6E"/>
    <w:rsid w:val="563E9503"/>
    <w:rsid w:val="567E1168"/>
    <w:rsid w:val="568E7BBD"/>
    <w:rsid w:val="56AE86A2"/>
    <w:rsid w:val="56B8B786"/>
    <w:rsid w:val="56E61B5D"/>
    <w:rsid w:val="571420A8"/>
    <w:rsid w:val="5721DD48"/>
    <w:rsid w:val="573623DB"/>
    <w:rsid w:val="57414839"/>
    <w:rsid w:val="574586BA"/>
    <w:rsid w:val="576FCAF0"/>
    <w:rsid w:val="5772253A"/>
    <w:rsid w:val="5774365B"/>
    <w:rsid w:val="579EA97E"/>
    <w:rsid w:val="57A45141"/>
    <w:rsid w:val="57CE461E"/>
    <w:rsid w:val="57F3BCEA"/>
    <w:rsid w:val="58197D83"/>
    <w:rsid w:val="5827C86D"/>
    <w:rsid w:val="5829B2CE"/>
    <w:rsid w:val="583B1F55"/>
    <w:rsid w:val="585E9117"/>
    <w:rsid w:val="58859710"/>
    <w:rsid w:val="58A91638"/>
    <w:rsid w:val="58B413F7"/>
    <w:rsid w:val="58C0F126"/>
    <w:rsid w:val="58C2CBF4"/>
    <w:rsid w:val="591B1822"/>
    <w:rsid w:val="592161D5"/>
    <w:rsid w:val="59225FE2"/>
    <w:rsid w:val="5929E3AB"/>
    <w:rsid w:val="59358AA1"/>
    <w:rsid w:val="593A4C21"/>
    <w:rsid w:val="593FCB2B"/>
    <w:rsid w:val="595DC0C4"/>
    <w:rsid w:val="596377D9"/>
    <w:rsid w:val="59791109"/>
    <w:rsid w:val="5988A1B8"/>
    <w:rsid w:val="59895D21"/>
    <w:rsid w:val="59ACB6E2"/>
    <w:rsid w:val="59ADB638"/>
    <w:rsid w:val="59DBC299"/>
    <w:rsid w:val="59FF2C1E"/>
    <w:rsid w:val="5A012319"/>
    <w:rsid w:val="5A462CF6"/>
    <w:rsid w:val="5A4ACD9C"/>
    <w:rsid w:val="5A684F5F"/>
    <w:rsid w:val="5A738A8C"/>
    <w:rsid w:val="5A9376EA"/>
    <w:rsid w:val="5A9F066E"/>
    <w:rsid w:val="5AA14237"/>
    <w:rsid w:val="5AA5EDB6"/>
    <w:rsid w:val="5AAED45C"/>
    <w:rsid w:val="5AB1DA0A"/>
    <w:rsid w:val="5ABDF2B5"/>
    <w:rsid w:val="5AC6D3A9"/>
    <w:rsid w:val="5ACB3653"/>
    <w:rsid w:val="5ADBB1EC"/>
    <w:rsid w:val="5AF11E59"/>
    <w:rsid w:val="5AFD5375"/>
    <w:rsid w:val="5B044DC8"/>
    <w:rsid w:val="5B1F7A1A"/>
    <w:rsid w:val="5B23B427"/>
    <w:rsid w:val="5B2928BC"/>
    <w:rsid w:val="5B37FC54"/>
    <w:rsid w:val="5B4CEAA6"/>
    <w:rsid w:val="5B65F952"/>
    <w:rsid w:val="5B7317D7"/>
    <w:rsid w:val="5B7661D7"/>
    <w:rsid w:val="5B9946D1"/>
    <w:rsid w:val="5BA95212"/>
    <w:rsid w:val="5BADDC47"/>
    <w:rsid w:val="5BB680FA"/>
    <w:rsid w:val="5BD9D531"/>
    <w:rsid w:val="5BFD36EF"/>
    <w:rsid w:val="5C0DA4CA"/>
    <w:rsid w:val="5C23FADE"/>
    <w:rsid w:val="5C32A1B4"/>
    <w:rsid w:val="5C40CA60"/>
    <w:rsid w:val="5C451A83"/>
    <w:rsid w:val="5C4C2CA0"/>
    <w:rsid w:val="5C5352B6"/>
    <w:rsid w:val="5C536A10"/>
    <w:rsid w:val="5C7023B2"/>
    <w:rsid w:val="5C7146FD"/>
    <w:rsid w:val="5C86C539"/>
    <w:rsid w:val="5C91741D"/>
    <w:rsid w:val="5CA9EDA6"/>
    <w:rsid w:val="5CAC753B"/>
    <w:rsid w:val="5CCCA57D"/>
    <w:rsid w:val="5CEA2FDA"/>
    <w:rsid w:val="5CF55115"/>
    <w:rsid w:val="5D2A6226"/>
    <w:rsid w:val="5D32AAD2"/>
    <w:rsid w:val="5D363A13"/>
    <w:rsid w:val="5DAF29B9"/>
    <w:rsid w:val="5DB21F69"/>
    <w:rsid w:val="5DCCA6A5"/>
    <w:rsid w:val="5DCD11DF"/>
    <w:rsid w:val="5DCE095D"/>
    <w:rsid w:val="5DCEB4E1"/>
    <w:rsid w:val="5E04E20B"/>
    <w:rsid w:val="5E1B1E14"/>
    <w:rsid w:val="5E1DD689"/>
    <w:rsid w:val="5E40B721"/>
    <w:rsid w:val="5E4C5729"/>
    <w:rsid w:val="5E50594A"/>
    <w:rsid w:val="5E6DFFA3"/>
    <w:rsid w:val="5EA76782"/>
    <w:rsid w:val="5ECE683D"/>
    <w:rsid w:val="5ED7C9CB"/>
    <w:rsid w:val="5EDBDB41"/>
    <w:rsid w:val="5F0D08B6"/>
    <w:rsid w:val="5F138E2E"/>
    <w:rsid w:val="5F154A9C"/>
    <w:rsid w:val="5F1CC98C"/>
    <w:rsid w:val="5F3D138C"/>
    <w:rsid w:val="5F4986BE"/>
    <w:rsid w:val="5F7C5BD7"/>
    <w:rsid w:val="5F8EF043"/>
    <w:rsid w:val="5F959A1A"/>
    <w:rsid w:val="5FC89031"/>
    <w:rsid w:val="5FCD8E04"/>
    <w:rsid w:val="5FD02168"/>
    <w:rsid w:val="5FD6AA40"/>
    <w:rsid w:val="5FEAB3BE"/>
    <w:rsid w:val="600A5108"/>
    <w:rsid w:val="60171622"/>
    <w:rsid w:val="602CC304"/>
    <w:rsid w:val="603131BF"/>
    <w:rsid w:val="6044C2E0"/>
    <w:rsid w:val="604DB0A5"/>
    <w:rsid w:val="605AD625"/>
    <w:rsid w:val="607590C2"/>
    <w:rsid w:val="60797EFB"/>
    <w:rsid w:val="6094B12A"/>
    <w:rsid w:val="6095914E"/>
    <w:rsid w:val="60CD5C8D"/>
    <w:rsid w:val="60EBF89A"/>
    <w:rsid w:val="611DFFAF"/>
    <w:rsid w:val="61210F16"/>
    <w:rsid w:val="614B5925"/>
    <w:rsid w:val="615A21DB"/>
    <w:rsid w:val="61679BBF"/>
    <w:rsid w:val="616899B4"/>
    <w:rsid w:val="617276A0"/>
    <w:rsid w:val="61AEBCC0"/>
    <w:rsid w:val="61B0C731"/>
    <w:rsid w:val="61C2F5B9"/>
    <w:rsid w:val="61E6DBF7"/>
    <w:rsid w:val="61F38AFE"/>
    <w:rsid w:val="621F422D"/>
    <w:rsid w:val="622042F5"/>
    <w:rsid w:val="625402DE"/>
    <w:rsid w:val="62654031"/>
    <w:rsid w:val="6276930B"/>
    <w:rsid w:val="62A62D01"/>
    <w:rsid w:val="62D874E9"/>
    <w:rsid w:val="630E13B0"/>
    <w:rsid w:val="632A9FC1"/>
    <w:rsid w:val="63336E0E"/>
    <w:rsid w:val="635C489E"/>
    <w:rsid w:val="63620794"/>
    <w:rsid w:val="63647F57"/>
    <w:rsid w:val="638CEE43"/>
    <w:rsid w:val="6397D4F9"/>
    <w:rsid w:val="63ACB5EF"/>
    <w:rsid w:val="63ADAC3C"/>
    <w:rsid w:val="63E0CF4C"/>
    <w:rsid w:val="63FC14BF"/>
    <w:rsid w:val="6405183A"/>
    <w:rsid w:val="641953C3"/>
    <w:rsid w:val="64346946"/>
    <w:rsid w:val="64369E90"/>
    <w:rsid w:val="645DF055"/>
    <w:rsid w:val="646D8EAC"/>
    <w:rsid w:val="64848CD6"/>
    <w:rsid w:val="64888753"/>
    <w:rsid w:val="64AB11EC"/>
    <w:rsid w:val="64AC704D"/>
    <w:rsid w:val="64D2AD41"/>
    <w:rsid w:val="64D55B9B"/>
    <w:rsid w:val="64E8D00C"/>
    <w:rsid w:val="6529938E"/>
    <w:rsid w:val="6547C4F2"/>
    <w:rsid w:val="654CA9E2"/>
    <w:rsid w:val="6560EE90"/>
    <w:rsid w:val="656A8087"/>
    <w:rsid w:val="6587DD7F"/>
    <w:rsid w:val="658CC218"/>
    <w:rsid w:val="65B1A649"/>
    <w:rsid w:val="65C127F2"/>
    <w:rsid w:val="65CF84A4"/>
    <w:rsid w:val="65E9E074"/>
    <w:rsid w:val="6606528C"/>
    <w:rsid w:val="66248361"/>
    <w:rsid w:val="662AD455"/>
    <w:rsid w:val="664F148C"/>
    <w:rsid w:val="66605F37"/>
    <w:rsid w:val="66635180"/>
    <w:rsid w:val="668CCDE6"/>
    <w:rsid w:val="66972665"/>
    <w:rsid w:val="66AFB653"/>
    <w:rsid w:val="66C5BA6D"/>
    <w:rsid w:val="66CD9383"/>
    <w:rsid w:val="66FC2D20"/>
    <w:rsid w:val="67106BAE"/>
    <w:rsid w:val="675F85CE"/>
    <w:rsid w:val="676B3B36"/>
    <w:rsid w:val="677B0273"/>
    <w:rsid w:val="677B8178"/>
    <w:rsid w:val="6784E56E"/>
    <w:rsid w:val="6799E437"/>
    <w:rsid w:val="679B0CD9"/>
    <w:rsid w:val="67A03939"/>
    <w:rsid w:val="67B853D7"/>
    <w:rsid w:val="67D1514E"/>
    <w:rsid w:val="67F82BBF"/>
    <w:rsid w:val="683BF1D6"/>
    <w:rsid w:val="68529BCF"/>
    <w:rsid w:val="6859E3C8"/>
    <w:rsid w:val="68605122"/>
    <w:rsid w:val="6870FCAE"/>
    <w:rsid w:val="687933CE"/>
    <w:rsid w:val="6884D326"/>
    <w:rsid w:val="688F93CD"/>
    <w:rsid w:val="68ABC417"/>
    <w:rsid w:val="68F136AD"/>
    <w:rsid w:val="68F4A9AE"/>
    <w:rsid w:val="68F54720"/>
    <w:rsid w:val="68F69FD5"/>
    <w:rsid w:val="69338ED3"/>
    <w:rsid w:val="69448671"/>
    <w:rsid w:val="695E10E7"/>
    <w:rsid w:val="697DD645"/>
    <w:rsid w:val="698FC322"/>
    <w:rsid w:val="69B6AE26"/>
    <w:rsid w:val="69C78BEE"/>
    <w:rsid w:val="69CCE518"/>
    <w:rsid w:val="69F4BE2D"/>
    <w:rsid w:val="69FA0579"/>
    <w:rsid w:val="6A0A7371"/>
    <w:rsid w:val="6A171396"/>
    <w:rsid w:val="6A191F90"/>
    <w:rsid w:val="6A2E3110"/>
    <w:rsid w:val="6A53289B"/>
    <w:rsid w:val="6A7F4006"/>
    <w:rsid w:val="6A89994C"/>
    <w:rsid w:val="6A8BF6CF"/>
    <w:rsid w:val="6AA2D42D"/>
    <w:rsid w:val="6AC7C2C3"/>
    <w:rsid w:val="6ADE5303"/>
    <w:rsid w:val="6AED20BD"/>
    <w:rsid w:val="6AF8836A"/>
    <w:rsid w:val="6B0721AA"/>
    <w:rsid w:val="6B1124D3"/>
    <w:rsid w:val="6B11BECC"/>
    <w:rsid w:val="6B3220DE"/>
    <w:rsid w:val="6B33BC0E"/>
    <w:rsid w:val="6B3DC1B7"/>
    <w:rsid w:val="6B4BCABE"/>
    <w:rsid w:val="6B4DE957"/>
    <w:rsid w:val="6B94EA33"/>
    <w:rsid w:val="6BA12476"/>
    <w:rsid w:val="6BB8B723"/>
    <w:rsid w:val="6BD83CF1"/>
    <w:rsid w:val="6BFC858A"/>
    <w:rsid w:val="6BFDC76C"/>
    <w:rsid w:val="6BFFAB34"/>
    <w:rsid w:val="6C06C2B6"/>
    <w:rsid w:val="6C152537"/>
    <w:rsid w:val="6C1B1C17"/>
    <w:rsid w:val="6C234BDA"/>
    <w:rsid w:val="6C265463"/>
    <w:rsid w:val="6C2AED3E"/>
    <w:rsid w:val="6C36B2D6"/>
    <w:rsid w:val="6C3D878F"/>
    <w:rsid w:val="6C3DC9FA"/>
    <w:rsid w:val="6C4E17DA"/>
    <w:rsid w:val="6C53BDFF"/>
    <w:rsid w:val="6C5D6F19"/>
    <w:rsid w:val="6C79E98F"/>
    <w:rsid w:val="6C95E87F"/>
    <w:rsid w:val="6CAAC34E"/>
    <w:rsid w:val="6CE3FDB7"/>
    <w:rsid w:val="6CE864AE"/>
    <w:rsid w:val="6CECAA29"/>
    <w:rsid w:val="6D070579"/>
    <w:rsid w:val="6D4CCABC"/>
    <w:rsid w:val="6D4DAE59"/>
    <w:rsid w:val="6D4DE331"/>
    <w:rsid w:val="6D8FD2C2"/>
    <w:rsid w:val="6DA83C92"/>
    <w:rsid w:val="6DB5B5F7"/>
    <w:rsid w:val="6E1FDD80"/>
    <w:rsid w:val="6E2CD915"/>
    <w:rsid w:val="6E3C3EF2"/>
    <w:rsid w:val="6E618EBF"/>
    <w:rsid w:val="6E6D5C0E"/>
    <w:rsid w:val="6E7B0E5F"/>
    <w:rsid w:val="6E85B730"/>
    <w:rsid w:val="6E97AE15"/>
    <w:rsid w:val="6EADBE3A"/>
    <w:rsid w:val="6ED67D9F"/>
    <w:rsid w:val="6EF1387B"/>
    <w:rsid w:val="6F02E4E9"/>
    <w:rsid w:val="6F25D28A"/>
    <w:rsid w:val="6F28CC14"/>
    <w:rsid w:val="6F6041D5"/>
    <w:rsid w:val="6F6AF591"/>
    <w:rsid w:val="6F7D1943"/>
    <w:rsid w:val="6F7FD7CC"/>
    <w:rsid w:val="6F80237B"/>
    <w:rsid w:val="6F8C894A"/>
    <w:rsid w:val="6F984786"/>
    <w:rsid w:val="6FA3F5E5"/>
    <w:rsid w:val="6FA75209"/>
    <w:rsid w:val="6FDD3B98"/>
    <w:rsid w:val="6FEB72B6"/>
    <w:rsid w:val="70021403"/>
    <w:rsid w:val="70080EDD"/>
    <w:rsid w:val="7064729E"/>
    <w:rsid w:val="709B0482"/>
    <w:rsid w:val="70BED265"/>
    <w:rsid w:val="70E6E5B9"/>
    <w:rsid w:val="70EA80B7"/>
    <w:rsid w:val="70F1BD79"/>
    <w:rsid w:val="70F376B8"/>
    <w:rsid w:val="711B3D01"/>
    <w:rsid w:val="712CDC5B"/>
    <w:rsid w:val="714D08C5"/>
    <w:rsid w:val="714E1C5B"/>
    <w:rsid w:val="716B652A"/>
    <w:rsid w:val="7171A508"/>
    <w:rsid w:val="71768541"/>
    <w:rsid w:val="7193834C"/>
    <w:rsid w:val="71953408"/>
    <w:rsid w:val="719B95FE"/>
    <w:rsid w:val="71CC9618"/>
    <w:rsid w:val="71DEF37C"/>
    <w:rsid w:val="72018371"/>
    <w:rsid w:val="7224B2F4"/>
    <w:rsid w:val="722975E9"/>
    <w:rsid w:val="72527BD3"/>
    <w:rsid w:val="7274363A"/>
    <w:rsid w:val="7275229D"/>
    <w:rsid w:val="728AE0CF"/>
    <w:rsid w:val="72C646F0"/>
    <w:rsid w:val="72DDE161"/>
    <w:rsid w:val="72E7988E"/>
    <w:rsid w:val="72EAEC8E"/>
    <w:rsid w:val="72EDB666"/>
    <w:rsid w:val="72FDDE79"/>
    <w:rsid w:val="7320141A"/>
    <w:rsid w:val="733444B8"/>
    <w:rsid w:val="7336FCA0"/>
    <w:rsid w:val="73469B8E"/>
    <w:rsid w:val="73476AB8"/>
    <w:rsid w:val="7354D26A"/>
    <w:rsid w:val="73954905"/>
    <w:rsid w:val="73C18F94"/>
    <w:rsid w:val="73EBBC04"/>
    <w:rsid w:val="73FD9BCE"/>
    <w:rsid w:val="73FDB56E"/>
    <w:rsid w:val="7421492E"/>
    <w:rsid w:val="74365C2E"/>
    <w:rsid w:val="7437DF9E"/>
    <w:rsid w:val="745FC7AC"/>
    <w:rsid w:val="74642279"/>
    <w:rsid w:val="74868429"/>
    <w:rsid w:val="749E14E0"/>
    <w:rsid w:val="74AD53EE"/>
    <w:rsid w:val="74AEF648"/>
    <w:rsid w:val="74B7C5A0"/>
    <w:rsid w:val="74C7608E"/>
    <w:rsid w:val="74F59A3B"/>
    <w:rsid w:val="74F6273B"/>
    <w:rsid w:val="751F81E5"/>
    <w:rsid w:val="7540F1F4"/>
    <w:rsid w:val="7577BC1E"/>
    <w:rsid w:val="758E015A"/>
    <w:rsid w:val="75A5E7E5"/>
    <w:rsid w:val="75AD595F"/>
    <w:rsid w:val="75BB99E2"/>
    <w:rsid w:val="75F5C977"/>
    <w:rsid w:val="75F7D8DF"/>
    <w:rsid w:val="76078682"/>
    <w:rsid w:val="76089A4A"/>
    <w:rsid w:val="761151B4"/>
    <w:rsid w:val="76310557"/>
    <w:rsid w:val="76359592"/>
    <w:rsid w:val="76584611"/>
    <w:rsid w:val="76878988"/>
    <w:rsid w:val="769D9C8C"/>
    <w:rsid w:val="76B3401A"/>
    <w:rsid w:val="76C22FB6"/>
    <w:rsid w:val="76D01CEF"/>
    <w:rsid w:val="76DD5115"/>
    <w:rsid w:val="76E7C48E"/>
    <w:rsid w:val="76F1C4DF"/>
    <w:rsid w:val="76F31AE2"/>
    <w:rsid w:val="770472EE"/>
    <w:rsid w:val="771A4210"/>
    <w:rsid w:val="771E8848"/>
    <w:rsid w:val="775902CD"/>
    <w:rsid w:val="775D004C"/>
    <w:rsid w:val="7760194A"/>
    <w:rsid w:val="776F2911"/>
    <w:rsid w:val="778BBDA6"/>
    <w:rsid w:val="77A48CA3"/>
    <w:rsid w:val="77C68964"/>
    <w:rsid w:val="77D96243"/>
    <w:rsid w:val="780DDB16"/>
    <w:rsid w:val="7810382A"/>
    <w:rsid w:val="78159C7D"/>
    <w:rsid w:val="7816549C"/>
    <w:rsid w:val="78274280"/>
    <w:rsid w:val="782CA1DE"/>
    <w:rsid w:val="78411636"/>
    <w:rsid w:val="7844D324"/>
    <w:rsid w:val="78462F28"/>
    <w:rsid w:val="784987C3"/>
    <w:rsid w:val="78543FEB"/>
    <w:rsid w:val="7864F1BD"/>
    <w:rsid w:val="78742559"/>
    <w:rsid w:val="78A48B57"/>
    <w:rsid w:val="78F39DB1"/>
    <w:rsid w:val="78F44099"/>
    <w:rsid w:val="78F9F692"/>
    <w:rsid w:val="7907A2EF"/>
    <w:rsid w:val="792FE243"/>
    <w:rsid w:val="7946DCAD"/>
    <w:rsid w:val="7950F833"/>
    <w:rsid w:val="795377A5"/>
    <w:rsid w:val="7953AABB"/>
    <w:rsid w:val="79A7E037"/>
    <w:rsid w:val="79FB50B8"/>
    <w:rsid w:val="7A0123CB"/>
    <w:rsid w:val="7A02D875"/>
    <w:rsid w:val="7A0DF0E5"/>
    <w:rsid w:val="7A235E1F"/>
    <w:rsid w:val="7A29F78F"/>
    <w:rsid w:val="7A34FE2E"/>
    <w:rsid w:val="7A4EF961"/>
    <w:rsid w:val="7A4F1DCB"/>
    <w:rsid w:val="7A51CB02"/>
    <w:rsid w:val="7A68ED2E"/>
    <w:rsid w:val="7A6D38E4"/>
    <w:rsid w:val="7A86B6F6"/>
    <w:rsid w:val="7A9249ED"/>
    <w:rsid w:val="7A9E6BF7"/>
    <w:rsid w:val="7AA94BDF"/>
    <w:rsid w:val="7AAC0B8A"/>
    <w:rsid w:val="7AAD65A2"/>
    <w:rsid w:val="7AB75854"/>
    <w:rsid w:val="7ACE9B64"/>
    <w:rsid w:val="7ADA26A1"/>
    <w:rsid w:val="7ADBA31A"/>
    <w:rsid w:val="7AEA1AB2"/>
    <w:rsid w:val="7B0ADC45"/>
    <w:rsid w:val="7B32B003"/>
    <w:rsid w:val="7BE650C5"/>
    <w:rsid w:val="7C1BADDF"/>
    <w:rsid w:val="7C24E8E7"/>
    <w:rsid w:val="7C40BC21"/>
    <w:rsid w:val="7C490628"/>
    <w:rsid w:val="7C4A0D7F"/>
    <w:rsid w:val="7C4DFCB6"/>
    <w:rsid w:val="7C55D5A9"/>
    <w:rsid w:val="7C695C21"/>
    <w:rsid w:val="7C760EAE"/>
    <w:rsid w:val="7C77608D"/>
    <w:rsid w:val="7C7B70FC"/>
    <w:rsid w:val="7C8482A5"/>
    <w:rsid w:val="7C8A5CA9"/>
    <w:rsid w:val="7CB1FF96"/>
    <w:rsid w:val="7CB20838"/>
    <w:rsid w:val="7CB4D7F0"/>
    <w:rsid w:val="7CD18A50"/>
    <w:rsid w:val="7CEA2176"/>
    <w:rsid w:val="7CEC8A4B"/>
    <w:rsid w:val="7CF161F7"/>
    <w:rsid w:val="7CFA948A"/>
    <w:rsid w:val="7CFC9C19"/>
    <w:rsid w:val="7D3314DD"/>
    <w:rsid w:val="7D4B1A0A"/>
    <w:rsid w:val="7D5E4F88"/>
    <w:rsid w:val="7D6CF18D"/>
    <w:rsid w:val="7D73B6BC"/>
    <w:rsid w:val="7D7EC14B"/>
    <w:rsid w:val="7DAFB9CB"/>
    <w:rsid w:val="7DB5FA9B"/>
    <w:rsid w:val="7DBFEE06"/>
    <w:rsid w:val="7DC21327"/>
    <w:rsid w:val="7DDA97F6"/>
    <w:rsid w:val="7DDCB249"/>
    <w:rsid w:val="7DF0680A"/>
    <w:rsid w:val="7E1163EE"/>
    <w:rsid w:val="7E5961DA"/>
    <w:rsid w:val="7E5C02FD"/>
    <w:rsid w:val="7E5F2971"/>
    <w:rsid w:val="7E681C6C"/>
    <w:rsid w:val="7E715070"/>
    <w:rsid w:val="7E8902F1"/>
    <w:rsid w:val="7E90BDD8"/>
    <w:rsid w:val="7EBE4AE2"/>
    <w:rsid w:val="7ED9EDAF"/>
    <w:rsid w:val="7F03E28E"/>
    <w:rsid w:val="7F04D789"/>
    <w:rsid w:val="7F098D53"/>
    <w:rsid w:val="7F1ABF93"/>
    <w:rsid w:val="7F1D4899"/>
    <w:rsid w:val="7F424140"/>
    <w:rsid w:val="7F4AD7F3"/>
    <w:rsid w:val="7F72DB77"/>
    <w:rsid w:val="7F81678F"/>
    <w:rsid w:val="7F9B1D8C"/>
    <w:rsid w:val="7FCA6C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21EE"/>
  <w15:chartTrackingRefBased/>
  <w15:docId w15:val="{B9179220-E188-43AC-A7E0-6F6C13B6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85"/>
    <w:rPr>
      <w:rFonts w:ascii="Inter Light" w:hAnsi="Inter Light"/>
      <w:color w:val="000000" w:themeColor="text2"/>
      <w:sz w:val="22"/>
    </w:rPr>
  </w:style>
  <w:style w:type="paragraph" w:styleId="Heading1">
    <w:name w:val="heading 1"/>
    <w:basedOn w:val="Normal"/>
    <w:next w:val="Normal"/>
    <w:link w:val="Heading1Char"/>
    <w:uiPriority w:val="9"/>
    <w:qFormat/>
    <w:rsid w:val="009E5ED1"/>
    <w:pPr>
      <w:keepNext/>
      <w:keepLines/>
      <w:spacing w:before="24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207485"/>
    <w:pPr>
      <w:outlineLvl w:val="1"/>
    </w:pPr>
    <w:rPr>
      <w:rFonts w:cs="Arial"/>
      <w:sz w:val="36"/>
      <w:szCs w:val="36"/>
    </w:rPr>
  </w:style>
  <w:style w:type="paragraph" w:styleId="Heading3">
    <w:name w:val="heading 3"/>
    <w:basedOn w:val="Normal"/>
    <w:next w:val="Normal"/>
    <w:link w:val="Heading3Char"/>
    <w:uiPriority w:val="9"/>
    <w:unhideWhenUsed/>
    <w:qFormat/>
    <w:rsid w:val="009E5ED1"/>
    <w:pPr>
      <w:keepNext/>
      <w:keepLines/>
      <w:spacing w:before="40"/>
      <w:outlineLvl w:val="2"/>
    </w:pPr>
    <w:rPr>
      <w:rFonts w:ascii="Inter" w:eastAsiaTheme="majorEastAsia" w:hAnsi="Inter" w:cstheme="majorBidi"/>
      <w:b/>
    </w:rPr>
  </w:style>
  <w:style w:type="paragraph" w:styleId="Heading4">
    <w:name w:val="heading 4"/>
    <w:basedOn w:val="Heading3"/>
    <w:next w:val="Normal"/>
    <w:link w:val="Heading4Char"/>
    <w:uiPriority w:val="9"/>
    <w:unhideWhenUsed/>
    <w:qFormat/>
    <w:rsid w:val="00207485"/>
    <w:pPr>
      <w:outlineLvl w:val="3"/>
    </w:pPr>
    <w:rPr>
      <w:rFonts w:ascii="Inter SemiBold" w:hAnsi="Inter SemiBold"/>
      <w:iCs/>
      <w:color w:val="000000" w:themeColor="text1"/>
    </w:rPr>
  </w:style>
  <w:style w:type="paragraph" w:styleId="Heading5">
    <w:name w:val="heading 5"/>
    <w:basedOn w:val="Normal"/>
    <w:next w:val="Normal"/>
    <w:link w:val="Heading5Char"/>
    <w:uiPriority w:val="9"/>
    <w:semiHidden/>
    <w:unhideWhenUsed/>
    <w:qFormat/>
    <w:rsid w:val="00207485"/>
    <w:pPr>
      <w:keepNext/>
      <w:keepLines/>
      <w:spacing w:before="40"/>
      <w:outlineLvl w:val="4"/>
    </w:pPr>
    <w:rPr>
      <w:rFonts w:eastAsiaTheme="majorEastAsia"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BEA"/>
    <w:pPr>
      <w:tabs>
        <w:tab w:val="center" w:pos="4513"/>
        <w:tab w:val="right" w:pos="9026"/>
      </w:tabs>
    </w:pPr>
  </w:style>
  <w:style w:type="character" w:customStyle="1" w:styleId="HeaderChar">
    <w:name w:val="Header Char"/>
    <w:basedOn w:val="DefaultParagraphFont"/>
    <w:link w:val="Header"/>
    <w:uiPriority w:val="99"/>
    <w:rsid w:val="00075BEA"/>
  </w:style>
  <w:style w:type="paragraph" w:styleId="Footer">
    <w:name w:val="footer"/>
    <w:basedOn w:val="Normal"/>
    <w:link w:val="FooterChar"/>
    <w:uiPriority w:val="99"/>
    <w:unhideWhenUsed/>
    <w:rsid w:val="00075BEA"/>
    <w:pPr>
      <w:tabs>
        <w:tab w:val="center" w:pos="4513"/>
        <w:tab w:val="right" w:pos="9026"/>
      </w:tabs>
    </w:pPr>
  </w:style>
  <w:style w:type="character" w:customStyle="1" w:styleId="FooterChar">
    <w:name w:val="Footer Char"/>
    <w:basedOn w:val="DefaultParagraphFont"/>
    <w:link w:val="Footer"/>
    <w:uiPriority w:val="99"/>
    <w:rsid w:val="00075BEA"/>
  </w:style>
  <w:style w:type="character" w:customStyle="1" w:styleId="Heading1Char">
    <w:name w:val="Heading 1 Char"/>
    <w:basedOn w:val="DefaultParagraphFont"/>
    <w:link w:val="Heading1"/>
    <w:uiPriority w:val="9"/>
    <w:rsid w:val="009E5ED1"/>
    <w:rPr>
      <w:rFonts w:ascii="Inter Light" w:eastAsiaTheme="majorEastAsia" w:hAnsi="Inter Light" w:cstheme="majorBidi"/>
      <w:color w:val="000000" w:themeColor="text2"/>
      <w:sz w:val="44"/>
      <w:szCs w:val="32"/>
    </w:rPr>
  </w:style>
  <w:style w:type="character" w:customStyle="1" w:styleId="Heading2Char">
    <w:name w:val="Heading 2 Char"/>
    <w:basedOn w:val="DefaultParagraphFont"/>
    <w:link w:val="Heading2"/>
    <w:uiPriority w:val="9"/>
    <w:rsid w:val="00207485"/>
    <w:rPr>
      <w:rFonts w:ascii="Inter Light" w:hAnsi="Inter Light" w:cs="Arial"/>
      <w:color w:val="000000" w:themeColor="text2"/>
      <w:sz w:val="36"/>
      <w:szCs w:val="36"/>
    </w:rPr>
  </w:style>
  <w:style w:type="character" w:customStyle="1" w:styleId="Heading5Char">
    <w:name w:val="Heading 5 Char"/>
    <w:basedOn w:val="DefaultParagraphFont"/>
    <w:link w:val="Heading5"/>
    <w:uiPriority w:val="9"/>
    <w:semiHidden/>
    <w:rsid w:val="00207485"/>
    <w:rPr>
      <w:rFonts w:ascii="Inter Light" w:eastAsiaTheme="majorEastAsia" w:hAnsi="Inter Light" w:cstheme="majorBidi"/>
      <w:color w:val="A5A5A5" w:themeColor="accent1" w:themeShade="BF"/>
      <w:sz w:val="22"/>
    </w:rPr>
  </w:style>
  <w:style w:type="character" w:customStyle="1" w:styleId="Heading3Char">
    <w:name w:val="Heading 3 Char"/>
    <w:basedOn w:val="DefaultParagraphFont"/>
    <w:link w:val="Heading3"/>
    <w:uiPriority w:val="9"/>
    <w:rsid w:val="009E5ED1"/>
    <w:rPr>
      <w:rFonts w:ascii="Inter" w:eastAsiaTheme="majorEastAsia" w:hAnsi="Inter" w:cstheme="majorBidi"/>
      <w:b/>
      <w:color w:val="000000" w:themeColor="text2"/>
      <w:sz w:val="20"/>
    </w:rPr>
  </w:style>
  <w:style w:type="paragraph" w:styleId="Title">
    <w:name w:val="Title"/>
    <w:basedOn w:val="Normal"/>
    <w:next w:val="Normal"/>
    <w:link w:val="TitleChar"/>
    <w:uiPriority w:val="10"/>
    <w:qFormat/>
    <w:rsid w:val="008C4112"/>
    <w:pPr>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8C4112"/>
    <w:rPr>
      <w:rFonts w:ascii="Inter Light" w:eastAsiaTheme="majorEastAsia" w:hAnsi="Inter Light" w:cstheme="majorBidi"/>
      <w:color w:val="000000" w:themeColor="text1"/>
      <w:spacing w:val="-10"/>
      <w:kern w:val="28"/>
      <w:sz w:val="72"/>
      <w:szCs w:val="56"/>
    </w:rPr>
  </w:style>
  <w:style w:type="paragraph" w:styleId="Quote">
    <w:name w:val="Quote"/>
    <w:basedOn w:val="Normal"/>
    <w:next w:val="Normal"/>
    <w:link w:val="QuoteChar"/>
    <w:uiPriority w:val="29"/>
    <w:qFormat/>
    <w:rsid w:val="009150AC"/>
    <w:pPr>
      <w:pBdr>
        <w:left w:val="single" w:sz="24" w:space="20" w:color="DDDDDD" w:themeColor="accent1"/>
      </w:pBdr>
      <w:spacing w:before="200" w:after="160"/>
      <w:ind w:left="720" w:right="864"/>
    </w:pPr>
    <w:rPr>
      <w:i/>
      <w:iCs/>
    </w:rPr>
  </w:style>
  <w:style w:type="character" w:customStyle="1" w:styleId="QuoteChar">
    <w:name w:val="Quote Char"/>
    <w:basedOn w:val="DefaultParagraphFont"/>
    <w:link w:val="Quote"/>
    <w:uiPriority w:val="29"/>
    <w:rsid w:val="009150AC"/>
    <w:rPr>
      <w:rFonts w:ascii="Inter Light" w:hAnsi="Inter Light"/>
      <w:i/>
      <w:iCs/>
      <w:color w:val="000000" w:themeColor="text2"/>
      <w:sz w:val="20"/>
    </w:rPr>
  </w:style>
  <w:style w:type="character" w:customStyle="1" w:styleId="Heading4Char">
    <w:name w:val="Heading 4 Char"/>
    <w:basedOn w:val="DefaultParagraphFont"/>
    <w:link w:val="Heading4"/>
    <w:uiPriority w:val="9"/>
    <w:rsid w:val="00207485"/>
    <w:rPr>
      <w:rFonts w:ascii="Inter SemiBold" w:eastAsiaTheme="majorEastAsia" w:hAnsi="Inter SemiBold" w:cstheme="majorBidi"/>
      <w:b/>
      <w:iCs/>
      <w:color w:val="000000" w:themeColor="text1"/>
      <w:sz w:val="22"/>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1759A"/>
    <w:pPr>
      <w:ind w:left="720"/>
      <w:contextualSpacing/>
    </w:p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Inter Light" w:hAnsi="Inter Light"/>
      <w:color w:val="000000" w:themeColor="text2"/>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9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4258"/>
    <w:pPr>
      <w:spacing w:before="100" w:beforeAutospacing="1" w:after="100" w:afterAutospacing="1"/>
    </w:pPr>
    <w:rPr>
      <w:rFonts w:ascii="Times New Roman" w:eastAsia="Times New Roman" w:hAnsi="Times New Roman" w:cs="Times New Roman"/>
      <w:color w:val="auto"/>
      <w:kern w:val="0"/>
      <w:sz w:val="24"/>
      <w:lang w:eastAsia="en-GB"/>
      <w14:ligatures w14:val="none"/>
    </w:rPr>
  </w:style>
  <w:style w:type="character" w:customStyle="1" w:styleId="normaltextrun">
    <w:name w:val="normaltextrun"/>
    <w:basedOn w:val="DefaultParagraphFont"/>
    <w:rsid w:val="00A94258"/>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qFormat/>
    <w:rsid w:val="001E6D8E"/>
    <w:rPr>
      <w:rFonts w:ascii="Inter Light" w:hAnsi="Inter Light"/>
      <w:color w:val="000000" w:themeColor="text2"/>
      <w:sz w:val="22"/>
    </w:rPr>
  </w:style>
  <w:style w:type="paragraph" w:styleId="CommentSubject">
    <w:name w:val="annotation subject"/>
    <w:basedOn w:val="CommentText"/>
    <w:next w:val="CommentText"/>
    <w:link w:val="CommentSubjectChar"/>
    <w:uiPriority w:val="99"/>
    <w:semiHidden/>
    <w:unhideWhenUsed/>
    <w:rsid w:val="005C0025"/>
    <w:rPr>
      <w:b/>
      <w:bCs/>
      <w:sz w:val="20"/>
    </w:rPr>
  </w:style>
  <w:style w:type="character" w:customStyle="1" w:styleId="CommentSubjectChar">
    <w:name w:val="Comment Subject Char"/>
    <w:basedOn w:val="CommentTextChar"/>
    <w:link w:val="CommentSubject"/>
    <w:uiPriority w:val="99"/>
    <w:semiHidden/>
    <w:rsid w:val="005C0025"/>
    <w:rPr>
      <w:rFonts w:ascii="Inter Light" w:hAnsi="Inter Light"/>
      <w:b/>
      <w:bCs/>
      <w:color w:val="000000" w:themeColor="text2"/>
      <w:sz w:val="20"/>
      <w:szCs w:val="20"/>
    </w:rPr>
  </w:style>
  <w:style w:type="paragraph" w:styleId="Revision">
    <w:name w:val="Revision"/>
    <w:hidden/>
    <w:uiPriority w:val="99"/>
    <w:semiHidden/>
    <w:rsid w:val="006708CF"/>
    <w:rPr>
      <w:rFonts w:ascii="Inter Light" w:hAnsi="Inter Light"/>
      <w:color w:val="000000"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google.com%2Fsearch%3Fq%3DEnglish%2BNational%2BConcessionary%2BTravel%2BScheme%26sca_esv%3D513b073ce7acbed3%26sxsrf%3DAE3TifPsFk2BfcwoF_4r3znA5vlmLHpXCA%253A1767787983773%26source%3Dhp%26ei%3Dz01eaeTALY2FhbIPrqCc8Qc%26iflsig%3DAOw8s4IAAAAAaV5b36VkBEchkgm63LPpz96I6P_2X2zp%26ved%3D2ahUKEwjgv6q6s_mRAxVcX0EAHf7sFrAQgK4QegQIARAB%26uact%3D5%26oq%3Dencts%2Bstatutory%2Bscheme%26gs_lp%3DEgdnd3Mtd2l6IhZlbmN0cyBzdGF0dXRvcnkgc2NoZW1lMgUQIRigAUjQNVAAWKQ0cAJ4AJABAJgBcKABog6qAQQyMC4yuAEDyAEA-AEBmAIYoAK9D8ICBBAjGCfCAgoQIxiABBgnGIoFwgILEAAYgAQYkQIYigXCAhEQLhiABBixAxjRAxiDARjHAcICDhAuGIAEGLEDGNEDGMcBwgIFEC4YgATCAgsQABiABBixAxiDAcICEBAjGPAFGIAEGCcYyQIYigXCAgsQLhiABBixAxiDAcICDhAAGIAEGLEDGIMBGIoFwgIUEC4YgAQYkQIYxwEYigUYjgUYrwHCAggQLhiABBixA8ICCBAAGIAEGLEDwgIFEAAYgATCAgcQABiABBgKwgIGEAAYFhgewgILEAAYgAQYhgMYigXCAggQABiiBBiJBcICCBAAGIAEGKIEwgIGEAAYDRgewgIIEAAYBRgNGB7CAgQQIRgVwgIFECEYnwXCAgcQIRigARgKmAMAkgcEMjAuNKAHmniyBwQxOC40uAevD8IHCDQuOC4xMS4xyAdUgAgA%26sclient%3Dgws-wiz%26mstk%3DAUtExfDBWwd55b-GCANWn--ZrpENbqy3G6AWwyXEdvqF13XajPNcuIAgSZVwh73bGtE4gS58fmOR5XoxbEh12i7FtG66JqKfAh-M4-Nn3D4ESgzQOVt2IIbc4rC8WufYFYwnLFp6dCpR-RV0iaqwvn8rG7n_nKeWCM2CmivZ0_AaZy8AGaI%26csui%3D3&amp;data=05%7C02%7CTom.Bryant%40teesvalley-ca.gov.uk%7Cef933f9e48ab4565e68408de4ebace33%7C41561ac9cd6c4318b02eb1f4937e28e2%7C0%7C0%7C639034761400811884%7CUnknown%7CTWFpbGZsb3d8eyJFbXB0eU1hcGkiOnRydWUsIlYiOiIwLjAuMDAwMCIsIlAiOiJXaW4zMiIsIkFOIjoiTWFpbCIsIldUIjoyfQ%3D%3D%7C0%7C%7C%7C&amp;sdata=qlJRAxUdlZnuM2dJmBc2sHt%2BROc17i6iqFhRcXgX8z0%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c51e0c16-3c70-4bed-930f-b02839d0dd8b" xsi:nil="true"/>
    <MigrationWizId xmlns="c51e0c16-3c70-4bed-930f-b02839d0dd8b" xsi:nil="true"/>
    <MigrationWizIdPermissions xmlns="c51e0c16-3c70-4bed-930f-b02839d0dd8b" xsi:nil="true"/>
    <MigrationWizIdDocumentLibraryPermissions xmlns="c51e0c16-3c70-4bed-930f-b02839d0dd8b" xsi:nil="true"/>
    <TaxCatchAll xmlns="5f308053-a768-43f1-bf66-06210bb74c0d" xsi:nil="true"/>
    <lcf76f155ced4ddcb4097134ff3c332f xmlns="c51e0c16-3c70-4bed-930f-b02839d0dd8b">
      <Terms xmlns="http://schemas.microsoft.com/office/infopath/2007/PartnerControls"/>
    </lcf76f155ced4ddcb4097134ff3c332f>
    <MigrationWizIdSecurityGroups xmlns="c51e0c16-3c70-4bed-930f-b02839d0dd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B37C370094A947B45A665807D95A87" ma:contentTypeVersion="23" ma:contentTypeDescription="Create a new document." ma:contentTypeScope="" ma:versionID="3647b7877589eb76d63120a06202601c">
  <xsd:schema xmlns:xsd="http://www.w3.org/2001/XMLSchema" xmlns:xs="http://www.w3.org/2001/XMLSchema" xmlns:p="http://schemas.microsoft.com/office/2006/metadata/properties" xmlns:ns2="c51e0c16-3c70-4bed-930f-b02839d0dd8b" xmlns:ns3="5f308053-a768-43f1-bf66-06210bb74c0d" targetNamespace="http://schemas.microsoft.com/office/2006/metadata/properties" ma:root="true" ma:fieldsID="3032b9d85b4ef7d14bae33b7ccc2c884" ns2:_="" ns3:_="">
    <xsd:import namespace="c51e0c16-3c70-4bed-930f-b02839d0dd8b"/>
    <xsd:import namespace="5f308053-a768-43f1-bf66-06210bb74c0d"/>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e0c16-3c70-4bed-930f-b02839d0dd8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4afddb5-dc7d-4a25-90c0-e68c37b0a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08053-a768-43f1-bf66-06210bb74c0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963e3b8-7dd2-41d3-aa43-271d515cafeb}" ma:internalName="TaxCatchAll" ma:showField="CatchAllData" ma:web="5f308053-a768-43f1-bf66-06210bb74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920A5-B3EB-4591-9EDD-339031AFE337}">
  <ds:schemaRefs>
    <ds:schemaRef ds:uri="http://schemas.microsoft.com/office/2006/metadata/properties"/>
    <ds:schemaRef ds:uri="http://schemas.microsoft.com/office/infopath/2007/PartnerControls"/>
    <ds:schemaRef ds:uri="c51e0c16-3c70-4bed-930f-b02839d0dd8b"/>
    <ds:schemaRef ds:uri="5f308053-a768-43f1-bf66-06210bb74c0d"/>
  </ds:schemaRefs>
</ds:datastoreItem>
</file>

<file path=customXml/itemProps2.xml><?xml version="1.0" encoding="utf-8"?>
<ds:datastoreItem xmlns:ds="http://schemas.openxmlformats.org/officeDocument/2006/customXml" ds:itemID="{896A03A0-2362-4187-93E6-B6CF8C604D31}">
  <ds:schemaRefs>
    <ds:schemaRef ds:uri="http://schemas.microsoft.com/sharepoint/v3/contenttype/forms"/>
  </ds:schemaRefs>
</ds:datastoreItem>
</file>

<file path=customXml/itemProps3.xml><?xml version="1.0" encoding="utf-8"?>
<ds:datastoreItem xmlns:ds="http://schemas.openxmlformats.org/officeDocument/2006/customXml" ds:itemID="{BEECD497-C749-44B6-954B-508272598682}">
  <ds:schemaRefs>
    <ds:schemaRef ds:uri="http://schemas.openxmlformats.org/officeDocument/2006/bibliography"/>
  </ds:schemaRefs>
</ds:datastoreItem>
</file>

<file path=customXml/itemProps4.xml><?xml version="1.0" encoding="utf-8"?>
<ds:datastoreItem xmlns:ds="http://schemas.openxmlformats.org/officeDocument/2006/customXml" ds:itemID="{87DA9C59-6374-48F4-9B22-089A0D346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e0c16-3c70-4bed-930f-b02839d0dd8b"/>
    <ds:schemaRef ds:uri="5f308053-a768-43f1-bf66-06210bb74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13014</Words>
  <Characters>74182</Characters>
  <Application>Microsoft Office Word</Application>
  <DocSecurity>0</DocSecurity>
  <Lines>618</Lines>
  <Paragraphs>174</Paragraphs>
  <ScaleCrop>false</ScaleCrop>
  <Company/>
  <LinksUpToDate>false</LinksUpToDate>
  <CharactersWithSpaces>87022</CharactersWithSpaces>
  <SharedDoc>false</SharedDoc>
  <HLinks>
    <vt:vector size="6" baseType="variant">
      <vt:variant>
        <vt:i4>5636116</vt:i4>
      </vt:variant>
      <vt:variant>
        <vt:i4>0</vt:i4>
      </vt:variant>
      <vt:variant>
        <vt:i4>0</vt:i4>
      </vt:variant>
      <vt:variant>
        <vt:i4>5</vt:i4>
      </vt:variant>
      <vt:variant>
        <vt:lpwstr>https://gbr01.safelinks.protection.outlook.com/?url=https%3A%2F%2Fwww.google.com%2Fsearch%3Fq%3DEnglish%2BNational%2BConcessionary%2BTravel%2BScheme%26sca_esv%3D513b073ce7acbed3%26sxsrf%3DAE3TifPsFk2BfcwoF_4r3znA5vlmLHpXCA%253A1767787983773%26source%3Dhp%26ei%3Dz01eaeTALY2FhbIPrqCc8Qc%26iflsig%3DAOw8s4IAAAAAaV5b36VkBEchkgm63LPpz96I6P_2X2zp%26ved%3D2ahUKEwjgv6q6s_mRAxVcX0EAHf7sFrAQgK4QegQIARAB%26uact%3D5%26oq%3Dencts%2Bstatutory%2Bscheme%26gs_lp%3DEgdnd3Mtd2l6IhZlbmN0cyBzdGF0dXRvcnkgc2NoZW1lMgUQIRigAUjQNVAAWKQ0cAJ4AJABAJgBcKABog6qAQQyMC4yuAEDyAEA-AEBmAIYoAK9D8ICBBAjGCfCAgoQIxiABBgnGIoFwgILEAAYgAQYkQIYigXCAhEQLhiABBixAxjRAxiDARjHAcICDhAuGIAEGLEDGNEDGMcBwgIFEC4YgATCAgsQABiABBixAxiDAcICEBAjGPAFGIAEGCcYyQIYigXCAgsQLhiABBixAxiDAcICDhAAGIAEGLEDGIMBGIoFwgIUEC4YgAQYkQIYxwEYigUYjgUYrwHCAggQLhiABBixA8ICCBAAGIAEGLEDwgIFEAAYgATCAgcQABiABBgKwgIGEAAYFhgewgILEAAYgAQYhgMYigXCAggQABiiBBiJBcICCBAAGIAEGKIEwgIGEAAYDRgewgIIEAAYBRgNGB7CAgQQIRgVwgIFECEYnwXCAgcQIRigARgKmAMAkgcEMjAuNKAHmniyBwQxOC40uAevD8IHCDQuOC4xMS4xyAdUgAgA%26sclient%3Dgws-wiz%26mstk%3DAUtExfDBWwd55b-GCANWn--ZrpENbqy3G6AWwyXEdvqF13XajPNcuIAgSZVwh73bGtE4gS58fmOR5XoxbEh12i7FtG66JqKfAh-M4-Nn3D4ESgzQOVt2IIbc4rC8WufYFYwnLFp6dCpR-RV0iaqwvn8rG7n_nKeWCM2CmivZ0_AaZy8AGaI%26csui%3D3&amp;data=05%7C02%7CTom.Bryant%40teesvalley-ca.gov.uk%7Cef933f9e48ab4565e68408de4ebace33%7C41561ac9cd6c4318b02eb1f4937e28e2%7C0%7C0%7C639034761400811884%7CUnknown%7CTWFpbGZsb3d8eyJFbXB0eU1hcGkiOnRydWUsIlYiOiIwLjAuMDAwMCIsIlAiOiJXaW4zMiIsIkFOIjoiTWFpbCIsIldUIjoyfQ%3D%3D%7C0%7C%7C%7C&amp;sdata=qlJRAxUdlZnuM2dJmBc2sHt%2BROc17i6iqFhRcXgX8z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Better.</dc:creator>
  <cp:keywords/>
  <dc:description/>
  <cp:lastModifiedBy>Kian Hoggarth</cp:lastModifiedBy>
  <cp:revision>2</cp:revision>
  <cp:lastPrinted>2026-01-15T04:09:00Z</cp:lastPrinted>
  <dcterms:created xsi:type="dcterms:W3CDTF">2026-02-11T10:59:00Z</dcterms:created>
  <dcterms:modified xsi:type="dcterms:W3CDTF">2026-02-11T10:59:00Z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0x010100A3B37C370094A947B45A665807D95A87</vt:lpwstr>
  </property>
  <property fmtid="{D5CDD505-2E9C-101B-9397-08002B2CF9AE}" pid="3" name="MediaServiceImageTags">
    <vt:lpwstr/>
  </property>
</Properties>
</file>